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9460D" w14:textId="7E754A49" w:rsidR="00835951" w:rsidRPr="004D5857" w:rsidRDefault="008C6C66" w:rsidP="009E2E85">
      <w:pPr>
        <w:spacing w:after="200" w:line="276" w:lineRule="auto"/>
        <w:jc w:val="center"/>
        <w:outlineLvl w:val="0"/>
        <w:rPr>
          <w:rFonts w:ascii="Times New Roman" w:hAnsi="Times New Roman" w:cs="Times New Roman"/>
          <w:b/>
          <w:sz w:val="28"/>
          <w:lang w:val="en-US"/>
        </w:rPr>
      </w:pPr>
      <w:r>
        <w:rPr>
          <w:rFonts w:ascii="Times New Roman" w:hAnsi="Times New Roman" w:cs="Times New Roman"/>
          <w:b/>
          <w:sz w:val="28"/>
          <w:lang w:val="en-US"/>
        </w:rPr>
        <w:t>Simplified Distributional National Accounts</w:t>
      </w:r>
      <w:r w:rsidR="00CA2585">
        <w:rPr>
          <w:rStyle w:val="FootnoteReference"/>
          <w:rFonts w:ascii="Times New Roman" w:hAnsi="Times New Roman" w:cs="Times New Roman"/>
          <w:b/>
          <w:sz w:val="28"/>
          <w:lang w:val="en-US"/>
        </w:rPr>
        <w:footnoteReference w:customMarkFollows="1" w:id="1"/>
        <w:t>*</w:t>
      </w:r>
    </w:p>
    <w:p w14:paraId="51125B74" w14:textId="74AFC05D" w:rsidR="008F0AD1" w:rsidRPr="00441386" w:rsidRDefault="008F0AD1" w:rsidP="00BF3C4B">
      <w:pPr>
        <w:spacing w:line="480" w:lineRule="auto"/>
        <w:jc w:val="center"/>
        <w:rPr>
          <w:rFonts w:ascii="Times New Roman" w:hAnsi="Times New Roman" w:cs="Times New Roman"/>
          <w:szCs w:val="24"/>
          <w:lang w:val="en-US"/>
        </w:rPr>
      </w:pPr>
      <w:r w:rsidRPr="00441386">
        <w:rPr>
          <w:rFonts w:ascii="Times New Roman" w:hAnsi="Times New Roman" w:cs="Times New Roman"/>
          <w:szCs w:val="24"/>
          <w:lang w:val="en-US"/>
        </w:rPr>
        <w:t xml:space="preserve">Thomas </w:t>
      </w:r>
      <w:proofErr w:type="spellStart"/>
      <w:r w:rsidRPr="00441386">
        <w:rPr>
          <w:rFonts w:ascii="Times New Roman" w:hAnsi="Times New Roman" w:cs="Times New Roman"/>
          <w:szCs w:val="24"/>
          <w:lang w:val="en-US"/>
        </w:rPr>
        <w:t>Piketty</w:t>
      </w:r>
      <w:proofErr w:type="spellEnd"/>
      <w:r w:rsidRPr="00441386">
        <w:rPr>
          <w:rFonts w:ascii="Times New Roman" w:hAnsi="Times New Roman" w:cs="Times New Roman"/>
          <w:szCs w:val="24"/>
          <w:lang w:val="en-US"/>
        </w:rPr>
        <w:t xml:space="preserve"> (Paris School of Economics)</w:t>
      </w:r>
      <w:r>
        <w:rPr>
          <w:rFonts w:ascii="Times New Roman" w:hAnsi="Times New Roman" w:cs="Times New Roman"/>
          <w:szCs w:val="24"/>
          <w:lang w:val="en-US"/>
        </w:rPr>
        <w:t xml:space="preserve">; </w:t>
      </w:r>
      <w:r w:rsidRPr="00441386">
        <w:rPr>
          <w:rFonts w:ascii="Times New Roman" w:hAnsi="Times New Roman" w:cs="Times New Roman"/>
          <w:szCs w:val="24"/>
          <w:lang w:val="en-US"/>
        </w:rPr>
        <w:t>Emmanuel Saez (UC Berkeley and NBER)</w:t>
      </w:r>
      <w:r>
        <w:rPr>
          <w:rFonts w:ascii="Times New Roman" w:hAnsi="Times New Roman" w:cs="Times New Roman"/>
          <w:szCs w:val="24"/>
          <w:lang w:val="en-US"/>
        </w:rPr>
        <w:t xml:space="preserve">; </w:t>
      </w:r>
      <w:r w:rsidRPr="00441386">
        <w:rPr>
          <w:rFonts w:ascii="Times New Roman" w:hAnsi="Times New Roman" w:cs="Times New Roman"/>
          <w:szCs w:val="24"/>
          <w:lang w:val="en-US"/>
        </w:rPr>
        <w:t xml:space="preserve">Gabriel </w:t>
      </w:r>
      <w:proofErr w:type="spellStart"/>
      <w:r w:rsidRPr="00441386">
        <w:rPr>
          <w:rFonts w:ascii="Times New Roman" w:hAnsi="Times New Roman" w:cs="Times New Roman"/>
          <w:szCs w:val="24"/>
          <w:lang w:val="en-US"/>
        </w:rPr>
        <w:t>Zucman</w:t>
      </w:r>
      <w:proofErr w:type="spellEnd"/>
      <w:r w:rsidRPr="00441386">
        <w:rPr>
          <w:rFonts w:ascii="Times New Roman" w:hAnsi="Times New Roman" w:cs="Times New Roman"/>
          <w:szCs w:val="24"/>
          <w:lang w:val="en-US"/>
        </w:rPr>
        <w:t xml:space="preserve"> (UC Berkeley and NBER)</w:t>
      </w:r>
    </w:p>
    <w:p w14:paraId="2264334B" w14:textId="77777777" w:rsidR="00D408B7" w:rsidRPr="004D5857" w:rsidRDefault="00D408B7" w:rsidP="008A720A">
      <w:pPr>
        <w:spacing w:line="360" w:lineRule="auto"/>
        <w:jc w:val="both"/>
        <w:rPr>
          <w:rFonts w:ascii="Times New Roman" w:hAnsi="Times New Roman" w:cs="Times New Roman"/>
          <w:sz w:val="28"/>
          <w:lang w:val="en-US"/>
        </w:rPr>
      </w:pPr>
    </w:p>
    <w:p w14:paraId="4CB668BE" w14:textId="0CEAD0A6" w:rsidR="006541E1" w:rsidRDefault="005E2881" w:rsidP="00600480">
      <w:pPr>
        <w:spacing w:after="120" w:line="360" w:lineRule="auto"/>
        <w:ind w:firstLine="708"/>
        <w:jc w:val="both"/>
        <w:rPr>
          <w:rFonts w:ascii="Times New Roman" w:hAnsi="Times New Roman" w:cs="Times New Roman"/>
          <w:lang w:val="en-US"/>
        </w:rPr>
      </w:pPr>
      <w:proofErr w:type="spellStart"/>
      <w:r>
        <w:rPr>
          <w:rFonts w:ascii="Times New Roman" w:hAnsi="Times New Roman" w:cs="Times New Roman"/>
          <w:lang w:val="en-US"/>
        </w:rPr>
        <w:t>Piketty</w:t>
      </w:r>
      <w:proofErr w:type="spellEnd"/>
      <w:r>
        <w:rPr>
          <w:rFonts w:ascii="Times New Roman" w:hAnsi="Times New Roman" w:cs="Times New Roman"/>
          <w:lang w:val="en-US"/>
        </w:rPr>
        <w:t xml:space="preserve">, Saez, and </w:t>
      </w:r>
      <w:proofErr w:type="spellStart"/>
      <w:r>
        <w:rPr>
          <w:rFonts w:ascii="Times New Roman" w:hAnsi="Times New Roman" w:cs="Times New Roman"/>
          <w:lang w:val="en-US"/>
        </w:rPr>
        <w:t>Zucman</w:t>
      </w:r>
      <w:proofErr w:type="spellEnd"/>
      <w:r>
        <w:rPr>
          <w:rFonts w:ascii="Times New Roman" w:hAnsi="Times New Roman" w:cs="Times New Roman"/>
          <w:lang w:val="en-US"/>
        </w:rPr>
        <w:t xml:space="preserve"> (2018)</w:t>
      </w:r>
      <w:r w:rsidR="00FD0A1B">
        <w:rPr>
          <w:rFonts w:ascii="Times New Roman" w:hAnsi="Times New Roman" w:cs="Times New Roman"/>
          <w:lang w:val="en-US"/>
        </w:rPr>
        <w:t xml:space="preserve"> (hereafter PSZ)</w:t>
      </w:r>
      <w:r>
        <w:rPr>
          <w:rFonts w:ascii="Times New Roman" w:hAnsi="Times New Roman" w:cs="Times New Roman"/>
          <w:lang w:val="en-US"/>
        </w:rPr>
        <w:t xml:space="preserve"> propose a method to distribute</w:t>
      </w:r>
      <w:r w:rsidR="00ED59A6">
        <w:rPr>
          <w:rFonts w:ascii="Times New Roman" w:hAnsi="Times New Roman" w:cs="Times New Roman"/>
          <w:lang w:val="en-US"/>
        </w:rPr>
        <w:t xml:space="preserve"> total</w:t>
      </w:r>
      <w:r>
        <w:rPr>
          <w:rFonts w:ascii="Times New Roman" w:hAnsi="Times New Roman" w:cs="Times New Roman"/>
          <w:lang w:val="en-US"/>
        </w:rPr>
        <w:t xml:space="preserve"> national income </w:t>
      </w:r>
      <w:r w:rsidR="001C0901">
        <w:rPr>
          <w:rFonts w:ascii="Times New Roman" w:hAnsi="Times New Roman" w:cs="Times New Roman"/>
          <w:lang w:val="en-US"/>
        </w:rPr>
        <w:t xml:space="preserve">across individual adults in the United States. </w:t>
      </w:r>
      <w:r w:rsidR="00B40428">
        <w:rPr>
          <w:rFonts w:ascii="Times New Roman" w:hAnsi="Times New Roman" w:cs="Times New Roman"/>
          <w:lang w:val="en-US"/>
        </w:rPr>
        <w:t>The method has recently been applied to a number of countries as reviewed in the World Inequality Report 2018 (</w:t>
      </w:r>
      <w:proofErr w:type="spellStart"/>
      <w:r w:rsidR="00B40428">
        <w:rPr>
          <w:rFonts w:ascii="Times New Roman" w:hAnsi="Times New Roman" w:cs="Times New Roman"/>
          <w:lang w:val="en-US"/>
        </w:rPr>
        <w:t>Alvaredo</w:t>
      </w:r>
      <w:proofErr w:type="spellEnd"/>
      <w:r w:rsidR="00B40428">
        <w:rPr>
          <w:rFonts w:ascii="Times New Roman" w:hAnsi="Times New Roman" w:cs="Times New Roman"/>
          <w:lang w:val="en-US"/>
        </w:rPr>
        <w:t xml:space="preserve"> et al. 2018).</w:t>
      </w:r>
      <w:r w:rsidR="00600480">
        <w:rPr>
          <w:rFonts w:ascii="Times New Roman" w:hAnsi="Times New Roman" w:cs="Times New Roman"/>
          <w:lang w:val="en-US"/>
        </w:rPr>
        <w:t xml:space="preserve"> </w:t>
      </w:r>
      <w:r w:rsidR="00A9627C">
        <w:rPr>
          <w:rFonts w:ascii="Times New Roman" w:hAnsi="Times New Roman" w:cs="Times New Roman"/>
          <w:lang w:val="en-US"/>
        </w:rPr>
        <w:t xml:space="preserve">The key advantage relative to earlier work </w:t>
      </w:r>
      <w:r w:rsidR="00020975">
        <w:rPr>
          <w:rFonts w:ascii="Times New Roman" w:hAnsi="Times New Roman" w:cs="Times New Roman"/>
          <w:lang w:val="en-US"/>
        </w:rPr>
        <w:t xml:space="preserve">using fiscal income such as </w:t>
      </w:r>
      <w:proofErr w:type="spellStart"/>
      <w:r w:rsidR="00020975">
        <w:rPr>
          <w:rFonts w:ascii="Times New Roman" w:hAnsi="Times New Roman" w:cs="Times New Roman"/>
          <w:lang w:val="en-US"/>
        </w:rPr>
        <w:t>Piketty</w:t>
      </w:r>
      <w:proofErr w:type="spellEnd"/>
      <w:r w:rsidR="00020975">
        <w:rPr>
          <w:rFonts w:ascii="Times New Roman" w:hAnsi="Times New Roman" w:cs="Times New Roman"/>
          <w:lang w:val="en-US"/>
        </w:rPr>
        <w:t xml:space="preserve"> and Saez (2003)</w:t>
      </w:r>
      <w:r w:rsidR="007335DA">
        <w:rPr>
          <w:rFonts w:ascii="Times New Roman" w:hAnsi="Times New Roman" w:cs="Times New Roman"/>
          <w:lang w:val="en-US"/>
        </w:rPr>
        <w:t xml:space="preserve"> or survey data</w:t>
      </w:r>
      <w:r w:rsidR="00020975">
        <w:rPr>
          <w:rFonts w:ascii="Times New Roman" w:hAnsi="Times New Roman" w:cs="Times New Roman"/>
          <w:lang w:val="en-US"/>
        </w:rPr>
        <w:t xml:space="preserve"> </w:t>
      </w:r>
      <w:r w:rsidR="00A9627C">
        <w:rPr>
          <w:rFonts w:ascii="Times New Roman" w:hAnsi="Times New Roman" w:cs="Times New Roman"/>
          <w:lang w:val="en-US"/>
        </w:rPr>
        <w:t xml:space="preserve">is that the national income concept is comprehensive, homogeneous over time, and comparable across countries. </w:t>
      </w:r>
      <w:r w:rsidR="007335DA">
        <w:rPr>
          <w:rFonts w:ascii="Times New Roman" w:hAnsi="Times New Roman" w:cs="Times New Roman"/>
          <w:lang w:val="en-US"/>
        </w:rPr>
        <w:t xml:space="preserve">In particular, </w:t>
      </w:r>
      <w:r w:rsidR="007740C7">
        <w:rPr>
          <w:rFonts w:ascii="Times New Roman" w:hAnsi="Times New Roman" w:cs="Times New Roman"/>
          <w:lang w:val="en-US"/>
        </w:rPr>
        <w:t xml:space="preserve">distributional national income statistics </w:t>
      </w:r>
      <w:r w:rsidR="00092BC7">
        <w:rPr>
          <w:rFonts w:ascii="Times New Roman" w:hAnsi="Times New Roman" w:cs="Times New Roman"/>
          <w:lang w:val="en-US"/>
        </w:rPr>
        <w:t>can be used</w:t>
      </w:r>
      <w:r w:rsidR="007740C7">
        <w:rPr>
          <w:rFonts w:ascii="Times New Roman" w:hAnsi="Times New Roman" w:cs="Times New Roman"/>
          <w:lang w:val="en-US"/>
        </w:rPr>
        <w:t xml:space="preserve"> to study both growth and </w:t>
      </w:r>
      <w:r w:rsidR="00936B2C">
        <w:rPr>
          <w:rFonts w:ascii="Times New Roman" w:hAnsi="Times New Roman" w:cs="Times New Roman"/>
          <w:lang w:val="en-US"/>
        </w:rPr>
        <w:t>inequality</w:t>
      </w:r>
      <w:r w:rsidR="00E06380">
        <w:rPr>
          <w:rFonts w:ascii="Times New Roman" w:hAnsi="Times New Roman" w:cs="Times New Roman"/>
          <w:lang w:val="en-US"/>
        </w:rPr>
        <w:t xml:space="preserve"> in a consistent framework that aggregates cleanly to nationa</w:t>
      </w:r>
      <w:r w:rsidR="00D07454">
        <w:rPr>
          <w:rFonts w:ascii="Times New Roman" w:hAnsi="Times New Roman" w:cs="Times New Roman"/>
          <w:lang w:val="en-US"/>
        </w:rPr>
        <w:t>l income from national accounts. In contrast, fiscal income or survey income aggregates display growth levels that are quite different from national income gro</w:t>
      </w:r>
      <w:r w:rsidR="00100399">
        <w:rPr>
          <w:rFonts w:ascii="Times New Roman" w:hAnsi="Times New Roman" w:cs="Times New Roman"/>
          <w:lang w:val="en-US"/>
        </w:rPr>
        <w:t>wth both in the short-term year-to-</w:t>
      </w:r>
      <w:r w:rsidR="00D07454">
        <w:rPr>
          <w:rFonts w:ascii="Times New Roman" w:hAnsi="Times New Roman" w:cs="Times New Roman"/>
          <w:lang w:val="en-US"/>
        </w:rPr>
        <w:t>year fluctuations and in the long-term growth rates averaged over decades (see PSZ for a detailed discussion).</w:t>
      </w:r>
    </w:p>
    <w:p w14:paraId="007D3069" w14:textId="686D8E66" w:rsidR="00701C62" w:rsidRDefault="00013CD7" w:rsidP="00537EA2">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The PSZ</w:t>
      </w:r>
      <w:r w:rsidR="003B3B5C">
        <w:rPr>
          <w:rFonts w:ascii="Times New Roman" w:hAnsi="Times New Roman" w:cs="Times New Roman"/>
          <w:lang w:val="en-US"/>
        </w:rPr>
        <w:t xml:space="preserve"> methodology starts from</w:t>
      </w:r>
      <w:r w:rsidR="002841AE">
        <w:rPr>
          <w:rFonts w:ascii="Times New Roman" w:hAnsi="Times New Roman" w:cs="Times New Roman"/>
          <w:lang w:val="en-US"/>
        </w:rPr>
        <w:t xml:space="preserve"> individual</w:t>
      </w:r>
      <w:r w:rsidR="003B3B5C">
        <w:rPr>
          <w:rFonts w:ascii="Times New Roman" w:hAnsi="Times New Roman" w:cs="Times New Roman"/>
          <w:lang w:val="en-US"/>
        </w:rPr>
        <w:t xml:space="preserve"> tax return data providing information on fiscal income</w:t>
      </w:r>
      <w:r w:rsidR="00E66805">
        <w:rPr>
          <w:rFonts w:ascii="Times New Roman" w:hAnsi="Times New Roman" w:cs="Times New Roman"/>
          <w:lang w:val="en-US"/>
        </w:rPr>
        <w:t xml:space="preserve"> at the micro-level</w:t>
      </w:r>
      <w:r w:rsidR="003B3B5C">
        <w:rPr>
          <w:rFonts w:ascii="Times New Roman" w:hAnsi="Times New Roman" w:cs="Times New Roman"/>
          <w:lang w:val="en-US"/>
        </w:rPr>
        <w:t xml:space="preserve"> and then imputes forms of income that are</w:t>
      </w:r>
      <w:r w:rsidR="00147A0E">
        <w:rPr>
          <w:rFonts w:ascii="Times New Roman" w:hAnsi="Times New Roman" w:cs="Times New Roman"/>
          <w:lang w:val="en-US"/>
        </w:rPr>
        <w:t xml:space="preserve"> in national income but</w:t>
      </w:r>
      <w:r w:rsidR="003B3B5C">
        <w:rPr>
          <w:rFonts w:ascii="Times New Roman" w:hAnsi="Times New Roman" w:cs="Times New Roman"/>
          <w:lang w:val="en-US"/>
        </w:rPr>
        <w:t xml:space="preserve"> not in fiscal income such as fringe benefits for employees, imputed rent of homeowners, retained profits of corporations, etc. </w:t>
      </w:r>
      <w:r w:rsidR="000A0B30">
        <w:rPr>
          <w:rFonts w:ascii="Times New Roman" w:hAnsi="Times New Roman" w:cs="Times New Roman"/>
          <w:lang w:val="en-US"/>
        </w:rPr>
        <w:t>These imputations are made at the individual level based on a</w:t>
      </w:r>
      <w:r w:rsidR="0066394D">
        <w:rPr>
          <w:rFonts w:ascii="Times New Roman" w:hAnsi="Times New Roman" w:cs="Times New Roman"/>
          <w:lang w:val="en-US"/>
        </w:rPr>
        <w:t xml:space="preserve"> number of assumptions and combining information from income tax data and auxiliary datasets such as survey data</w:t>
      </w:r>
      <w:r w:rsidR="00504DB8">
        <w:rPr>
          <w:rFonts w:ascii="Times New Roman" w:hAnsi="Times New Roman" w:cs="Times New Roman"/>
          <w:lang w:val="en-US"/>
        </w:rPr>
        <w:t xml:space="preserve"> and national accounts data</w:t>
      </w:r>
      <w:r w:rsidR="0066394D">
        <w:rPr>
          <w:rFonts w:ascii="Times New Roman" w:hAnsi="Times New Roman" w:cs="Times New Roman"/>
          <w:lang w:val="en-US"/>
        </w:rPr>
        <w:t xml:space="preserve">. </w:t>
      </w:r>
      <w:r w:rsidR="00F63017">
        <w:rPr>
          <w:rFonts w:ascii="Times New Roman" w:hAnsi="Times New Roman" w:cs="Times New Roman"/>
          <w:lang w:val="en-US"/>
        </w:rPr>
        <w:t xml:space="preserve">Naturally, </w:t>
      </w:r>
      <w:r w:rsidR="008E71B0">
        <w:rPr>
          <w:rFonts w:ascii="Times New Roman" w:hAnsi="Times New Roman" w:cs="Times New Roman"/>
          <w:lang w:val="en-US"/>
        </w:rPr>
        <w:t xml:space="preserve">there are many assumptions involved and each assumption can be questioned. </w:t>
      </w:r>
      <w:r w:rsidR="00BD2F1A">
        <w:rPr>
          <w:rFonts w:ascii="Times New Roman" w:hAnsi="Times New Roman" w:cs="Times New Roman"/>
          <w:lang w:val="en-US"/>
        </w:rPr>
        <w:t>Because the numb</w:t>
      </w:r>
      <w:r w:rsidR="005A60F0">
        <w:rPr>
          <w:rFonts w:ascii="Times New Roman" w:hAnsi="Times New Roman" w:cs="Times New Roman"/>
          <w:lang w:val="en-US"/>
        </w:rPr>
        <w:t xml:space="preserve">er of assumptions made is very large, the methodology lacks simplicity and hence the end results are not as transparent as the simpler earlier fiscal income series by </w:t>
      </w:r>
      <w:proofErr w:type="spellStart"/>
      <w:r w:rsidR="005A60F0">
        <w:rPr>
          <w:rFonts w:ascii="Times New Roman" w:hAnsi="Times New Roman" w:cs="Times New Roman"/>
          <w:lang w:val="en-US"/>
        </w:rPr>
        <w:t>Piketty</w:t>
      </w:r>
      <w:proofErr w:type="spellEnd"/>
      <w:r w:rsidR="005A60F0">
        <w:rPr>
          <w:rFonts w:ascii="Times New Roman" w:hAnsi="Times New Roman" w:cs="Times New Roman"/>
          <w:lang w:val="en-US"/>
        </w:rPr>
        <w:t xml:space="preserve"> and Saez (2003).</w:t>
      </w:r>
    </w:p>
    <w:p w14:paraId="206CC624" w14:textId="5C77A1AD" w:rsidR="006873C1" w:rsidRDefault="005F2494" w:rsidP="00A24A8E">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As show</w:t>
      </w:r>
      <w:r w:rsidR="004F37F7">
        <w:rPr>
          <w:rFonts w:ascii="Times New Roman" w:hAnsi="Times New Roman" w:cs="Times New Roman"/>
          <w:lang w:val="en-US"/>
        </w:rPr>
        <w:t xml:space="preserve">n </w:t>
      </w:r>
      <w:r>
        <w:rPr>
          <w:rFonts w:ascii="Times New Roman" w:hAnsi="Times New Roman" w:cs="Times New Roman"/>
          <w:lang w:val="en-US"/>
        </w:rPr>
        <w:t>in Figure 1,</w:t>
      </w:r>
      <w:r w:rsidR="003F638E">
        <w:rPr>
          <w:rFonts w:ascii="Times New Roman" w:hAnsi="Times New Roman" w:cs="Times New Roman"/>
          <w:lang w:val="en-US"/>
        </w:rPr>
        <w:t xml:space="preserve"> the </w:t>
      </w:r>
      <w:proofErr w:type="spellStart"/>
      <w:r w:rsidR="003F638E">
        <w:rPr>
          <w:rFonts w:ascii="Times New Roman" w:hAnsi="Times New Roman" w:cs="Times New Roman"/>
          <w:lang w:val="en-US"/>
        </w:rPr>
        <w:t>Piketty</w:t>
      </w:r>
      <w:proofErr w:type="spellEnd"/>
      <w:r w:rsidR="003F638E">
        <w:rPr>
          <w:rFonts w:ascii="Times New Roman" w:hAnsi="Times New Roman" w:cs="Times New Roman"/>
          <w:lang w:val="en-US"/>
        </w:rPr>
        <w:t xml:space="preserve"> and Saez (2003) fiscal income series showed a huge increase in the top 1</w:t>
      </w:r>
      <w:r w:rsidR="009E2E85">
        <w:rPr>
          <w:rFonts w:ascii="Times New Roman" w:hAnsi="Times New Roman" w:cs="Times New Roman"/>
          <w:lang w:val="en-US"/>
        </w:rPr>
        <w:t xml:space="preserve"> percent</w:t>
      </w:r>
      <w:r w:rsidR="003F638E">
        <w:rPr>
          <w:rFonts w:ascii="Times New Roman" w:hAnsi="Times New Roman" w:cs="Times New Roman"/>
          <w:lang w:val="en-US"/>
        </w:rPr>
        <w:t xml:space="preserve"> fiscal income</w:t>
      </w:r>
      <w:r w:rsidR="009616B8">
        <w:rPr>
          <w:rFonts w:ascii="Times New Roman" w:hAnsi="Times New Roman" w:cs="Times New Roman"/>
          <w:lang w:val="en-US"/>
        </w:rPr>
        <w:t xml:space="preserve"> share</w:t>
      </w:r>
      <w:r w:rsidR="00EF5DBA">
        <w:rPr>
          <w:rFonts w:ascii="Times New Roman" w:hAnsi="Times New Roman" w:cs="Times New Roman"/>
          <w:lang w:val="en-US"/>
        </w:rPr>
        <w:t xml:space="preserve"> in recent decades. The top 1</w:t>
      </w:r>
      <w:r w:rsidR="009E2E85">
        <w:rPr>
          <w:rFonts w:ascii="Times New Roman" w:hAnsi="Times New Roman" w:cs="Times New Roman"/>
          <w:lang w:val="en-US"/>
        </w:rPr>
        <w:t xml:space="preserve"> percent</w:t>
      </w:r>
      <w:r w:rsidR="00EF5DBA">
        <w:rPr>
          <w:rFonts w:ascii="Times New Roman" w:hAnsi="Times New Roman" w:cs="Times New Roman"/>
          <w:lang w:val="en-US"/>
        </w:rPr>
        <w:t xml:space="preserve"> fiscal </w:t>
      </w:r>
      <w:r w:rsidR="00EF5DBA">
        <w:rPr>
          <w:rFonts w:ascii="Times New Roman" w:hAnsi="Times New Roman" w:cs="Times New Roman"/>
          <w:lang w:val="en-US"/>
        </w:rPr>
        <w:lastRenderedPageBreak/>
        <w:t>income share</w:t>
      </w:r>
      <w:r w:rsidR="009616B8">
        <w:rPr>
          <w:rFonts w:ascii="Times New Roman" w:hAnsi="Times New Roman" w:cs="Times New Roman"/>
          <w:lang w:val="en-US"/>
        </w:rPr>
        <w:t xml:space="preserve"> grew</w:t>
      </w:r>
      <w:r w:rsidR="00AB3780">
        <w:rPr>
          <w:rFonts w:ascii="Times New Roman" w:hAnsi="Times New Roman" w:cs="Times New Roman"/>
          <w:lang w:val="en-US"/>
        </w:rPr>
        <w:t xml:space="preserve"> by</w:t>
      </w:r>
      <w:r w:rsidR="002977D7">
        <w:rPr>
          <w:rFonts w:ascii="Times New Roman" w:hAnsi="Times New Roman" w:cs="Times New Roman"/>
          <w:lang w:val="en-US"/>
        </w:rPr>
        <w:t xml:space="preserve"> about</w:t>
      </w:r>
      <w:r w:rsidR="00AB3780">
        <w:rPr>
          <w:rFonts w:ascii="Times New Roman" w:hAnsi="Times New Roman" w:cs="Times New Roman"/>
          <w:lang w:val="en-US"/>
        </w:rPr>
        <w:t xml:space="preserve"> 10 points</w:t>
      </w:r>
      <w:r w:rsidR="003F638E">
        <w:rPr>
          <w:rFonts w:ascii="Times New Roman" w:hAnsi="Times New Roman" w:cs="Times New Roman"/>
          <w:lang w:val="en-US"/>
        </w:rPr>
        <w:t xml:space="preserve"> from 8.4</w:t>
      </w:r>
      <w:r w:rsidR="009E2E85">
        <w:rPr>
          <w:rFonts w:ascii="Times New Roman" w:hAnsi="Times New Roman" w:cs="Times New Roman"/>
          <w:lang w:val="en-US"/>
        </w:rPr>
        <w:t xml:space="preserve"> percent</w:t>
      </w:r>
      <w:r w:rsidR="003F638E">
        <w:rPr>
          <w:rFonts w:ascii="Times New Roman" w:hAnsi="Times New Roman" w:cs="Times New Roman"/>
          <w:lang w:val="en-US"/>
        </w:rPr>
        <w:t xml:space="preserve"> in 1960 to 17.8</w:t>
      </w:r>
      <w:r w:rsidR="009E2E85">
        <w:rPr>
          <w:rFonts w:ascii="Times New Roman" w:hAnsi="Times New Roman" w:cs="Times New Roman"/>
          <w:lang w:val="en-US"/>
        </w:rPr>
        <w:t xml:space="preserve"> percent</w:t>
      </w:r>
      <w:r w:rsidR="005C082C">
        <w:rPr>
          <w:rFonts w:ascii="Times New Roman" w:hAnsi="Times New Roman" w:cs="Times New Roman"/>
          <w:lang w:val="en-US"/>
        </w:rPr>
        <w:t xml:space="preserve"> in 2016</w:t>
      </w:r>
      <w:r w:rsidR="00A27E45">
        <w:rPr>
          <w:rFonts w:ascii="Times New Roman" w:hAnsi="Times New Roman" w:cs="Times New Roman"/>
          <w:lang w:val="en-US"/>
        </w:rPr>
        <w:t>. T</w:t>
      </w:r>
      <w:r w:rsidR="004669E6">
        <w:rPr>
          <w:rFonts w:ascii="Times New Roman" w:hAnsi="Times New Roman" w:cs="Times New Roman"/>
          <w:lang w:val="en-US"/>
        </w:rPr>
        <w:t>he</w:t>
      </w:r>
      <w:r w:rsidR="00A27E45">
        <w:rPr>
          <w:rFonts w:ascii="Times New Roman" w:hAnsi="Times New Roman" w:cs="Times New Roman"/>
          <w:lang w:val="en-US"/>
        </w:rPr>
        <w:t xml:space="preserve"> new</w:t>
      </w:r>
      <w:r w:rsidR="004669E6">
        <w:rPr>
          <w:rFonts w:ascii="Times New Roman" w:hAnsi="Times New Roman" w:cs="Times New Roman"/>
          <w:lang w:val="en-US"/>
        </w:rPr>
        <w:t xml:space="preserve"> PSZ series </w:t>
      </w:r>
      <w:r w:rsidR="00A27E45">
        <w:rPr>
          <w:rFonts w:ascii="Times New Roman" w:hAnsi="Times New Roman" w:cs="Times New Roman"/>
          <w:lang w:val="en-US"/>
        </w:rPr>
        <w:t xml:space="preserve">based on national income also </w:t>
      </w:r>
      <w:r w:rsidR="004669E6">
        <w:rPr>
          <w:rFonts w:ascii="Times New Roman" w:hAnsi="Times New Roman" w:cs="Times New Roman"/>
          <w:lang w:val="en-US"/>
        </w:rPr>
        <w:t>show a large increase in the share of national income going to the top 1</w:t>
      </w:r>
      <w:r w:rsidR="009E2E85">
        <w:rPr>
          <w:rFonts w:ascii="Times New Roman" w:hAnsi="Times New Roman" w:cs="Times New Roman"/>
          <w:lang w:val="en-US"/>
        </w:rPr>
        <w:t xml:space="preserve"> percent</w:t>
      </w:r>
      <w:r w:rsidR="004669E6">
        <w:rPr>
          <w:rFonts w:ascii="Times New Roman" w:hAnsi="Times New Roman" w:cs="Times New Roman"/>
          <w:lang w:val="en-US"/>
        </w:rPr>
        <w:t xml:space="preserve"> from about 10</w:t>
      </w:r>
      <w:r w:rsidR="009E2E85">
        <w:rPr>
          <w:rFonts w:ascii="Times New Roman" w:hAnsi="Times New Roman" w:cs="Times New Roman"/>
          <w:lang w:val="en-US"/>
        </w:rPr>
        <w:t xml:space="preserve"> percent</w:t>
      </w:r>
      <w:r w:rsidR="004669E6">
        <w:rPr>
          <w:rFonts w:ascii="Times New Roman" w:hAnsi="Times New Roman" w:cs="Times New Roman"/>
          <w:lang w:val="en-US"/>
        </w:rPr>
        <w:t xml:space="preserve"> in 1980 to about 20</w:t>
      </w:r>
      <w:r w:rsidR="009E2E85">
        <w:rPr>
          <w:rFonts w:ascii="Times New Roman" w:hAnsi="Times New Roman" w:cs="Times New Roman"/>
          <w:lang w:val="en-US"/>
        </w:rPr>
        <w:t xml:space="preserve"> percent</w:t>
      </w:r>
      <w:r w:rsidR="004669E6">
        <w:rPr>
          <w:rFonts w:ascii="Times New Roman" w:hAnsi="Times New Roman" w:cs="Times New Roman"/>
          <w:lang w:val="en-US"/>
        </w:rPr>
        <w:t xml:space="preserve"> today.</w:t>
      </w:r>
      <w:r w:rsidR="00EA6F13">
        <w:rPr>
          <w:rFonts w:ascii="Times New Roman" w:hAnsi="Times New Roman" w:cs="Times New Roman"/>
          <w:lang w:val="en-US"/>
        </w:rPr>
        <w:t xml:space="preserve"> This doubling of the top 1</w:t>
      </w:r>
      <w:r w:rsidR="009E2E85">
        <w:rPr>
          <w:rFonts w:ascii="Times New Roman" w:hAnsi="Times New Roman" w:cs="Times New Roman"/>
          <w:lang w:val="en-US"/>
        </w:rPr>
        <w:t xml:space="preserve"> percent</w:t>
      </w:r>
      <w:r w:rsidR="00F4260D">
        <w:rPr>
          <w:rFonts w:ascii="Times New Roman" w:hAnsi="Times New Roman" w:cs="Times New Roman"/>
          <w:lang w:val="en-US"/>
        </w:rPr>
        <w:t xml:space="preserve"> national</w:t>
      </w:r>
      <w:r w:rsidR="00EA6F13">
        <w:rPr>
          <w:rFonts w:ascii="Times New Roman" w:hAnsi="Times New Roman" w:cs="Times New Roman"/>
          <w:lang w:val="en-US"/>
        </w:rPr>
        <w:t xml:space="preserve"> income share</w:t>
      </w:r>
      <w:r w:rsidR="003F638E">
        <w:rPr>
          <w:rFonts w:ascii="Times New Roman" w:hAnsi="Times New Roman" w:cs="Times New Roman"/>
          <w:lang w:val="en-US"/>
        </w:rPr>
        <w:t xml:space="preserve"> </w:t>
      </w:r>
      <w:r w:rsidR="004C3891">
        <w:rPr>
          <w:rFonts w:ascii="Times New Roman" w:hAnsi="Times New Roman" w:cs="Times New Roman"/>
          <w:lang w:val="en-US"/>
        </w:rPr>
        <w:t xml:space="preserve">in the PSZ series </w:t>
      </w:r>
      <w:r w:rsidR="003F638E">
        <w:rPr>
          <w:rFonts w:ascii="Times New Roman" w:hAnsi="Times New Roman" w:cs="Times New Roman"/>
          <w:lang w:val="en-US"/>
        </w:rPr>
        <w:t>takes place both when the top 1</w:t>
      </w:r>
      <w:r w:rsidR="009E2E85">
        <w:rPr>
          <w:rFonts w:ascii="Times New Roman" w:hAnsi="Times New Roman" w:cs="Times New Roman"/>
          <w:lang w:val="en-US"/>
        </w:rPr>
        <w:t xml:space="preserve"> percent</w:t>
      </w:r>
      <w:r w:rsidR="003F638E">
        <w:rPr>
          <w:rFonts w:ascii="Times New Roman" w:hAnsi="Times New Roman" w:cs="Times New Roman"/>
          <w:lang w:val="en-US"/>
        </w:rPr>
        <w:t xml:space="preserve"> is defined based on individual adults with equal splitting of income </w:t>
      </w:r>
      <w:r w:rsidR="00A24A8E">
        <w:rPr>
          <w:rFonts w:ascii="Times New Roman" w:hAnsi="Times New Roman" w:cs="Times New Roman"/>
          <w:lang w:val="en-US"/>
        </w:rPr>
        <w:t>with</w:t>
      </w:r>
      <w:r w:rsidR="003450DB">
        <w:rPr>
          <w:rFonts w:ascii="Times New Roman" w:hAnsi="Times New Roman" w:cs="Times New Roman"/>
          <w:lang w:val="en-US"/>
        </w:rPr>
        <w:t>in</w:t>
      </w:r>
      <w:r w:rsidR="00A24A8E">
        <w:rPr>
          <w:rFonts w:ascii="Times New Roman" w:hAnsi="Times New Roman" w:cs="Times New Roman"/>
          <w:lang w:val="en-US"/>
        </w:rPr>
        <w:t xml:space="preserve"> married couples (the benchmark PSZ series) and when the top 1</w:t>
      </w:r>
      <w:r w:rsidR="009E2E85">
        <w:rPr>
          <w:rFonts w:ascii="Times New Roman" w:hAnsi="Times New Roman" w:cs="Times New Roman"/>
          <w:lang w:val="en-US"/>
        </w:rPr>
        <w:t xml:space="preserve"> percent</w:t>
      </w:r>
      <w:r w:rsidR="00A24A8E">
        <w:rPr>
          <w:rFonts w:ascii="Times New Roman" w:hAnsi="Times New Roman" w:cs="Times New Roman"/>
          <w:lang w:val="en-US"/>
        </w:rPr>
        <w:t xml:space="preserve"> is defined based on tax units (as in the </w:t>
      </w:r>
      <w:proofErr w:type="spellStart"/>
      <w:r w:rsidR="00A24A8E">
        <w:rPr>
          <w:rFonts w:ascii="Times New Roman" w:hAnsi="Times New Roman" w:cs="Times New Roman"/>
          <w:lang w:val="en-US"/>
        </w:rPr>
        <w:t>Piketty</w:t>
      </w:r>
      <w:proofErr w:type="spellEnd"/>
      <w:r w:rsidR="00A24A8E">
        <w:rPr>
          <w:rFonts w:ascii="Times New Roman" w:hAnsi="Times New Roman" w:cs="Times New Roman"/>
          <w:lang w:val="en-US"/>
        </w:rPr>
        <w:t xml:space="preserve"> and Saez 2003</w:t>
      </w:r>
      <w:r w:rsidR="000C0AA4">
        <w:rPr>
          <w:rFonts w:ascii="Times New Roman" w:hAnsi="Times New Roman" w:cs="Times New Roman"/>
          <w:lang w:val="en-US"/>
        </w:rPr>
        <w:t xml:space="preserve"> fiscal income </w:t>
      </w:r>
      <w:r w:rsidR="00A24A8E">
        <w:rPr>
          <w:rFonts w:ascii="Times New Roman" w:hAnsi="Times New Roman" w:cs="Times New Roman"/>
          <w:lang w:val="en-US"/>
        </w:rPr>
        <w:t xml:space="preserve">series). </w:t>
      </w:r>
      <w:r w:rsidR="006873C1">
        <w:rPr>
          <w:rFonts w:ascii="Times New Roman" w:hAnsi="Times New Roman" w:cs="Times New Roman"/>
          <w:lang w:val="en-US"/>
        </w:rPr>
        <w:t xml:space="preserve">Recently, </w:t>
      </w:r>
      <w:proofErr w:type="spellStart"/>
      <w:r w:rsidR="006873C1">
        <w:rPr>
          <w:rFonts w:ascii="Times New Roman" w:hAnsi="Times New Roman" w:cs="Times New Roman"/>
          <w:lang w:val="en-US"/>
        </w:rPr>
        <w:t>Auten</w:t>
      </w:r>
      <w:proofErr w:type="spellEnd"/>
      <w:r w:rsidR="006873C1">
        <w:rPr>
          <w:rFonts w:ascii="Times New Roman" w:hAnsi="Times New Roman" w:cs="Times New Roman"/>
          <w:lang w:val="en-US"/>
        </w:rPr>
        <w:t xml:space="preserve"> and Splinter (2018) have proposed an alternative set of assumptions for distributing non-fiscal income and </w:t>
      </w:r>
      <w:r w:rsidR="006F58EE">
        <w:rPr>
          <w:rFonts w:ascii="Times New Roman" w:hAnsi="Times New Roman" w:cs="Times New Roman"/>
          <w:lang w:val="en-US"/>
        </w:rPr>
        <w:t xml:space="preserve">have </w:t>
      </w:r>
      <w:r w:rsidR="006873C1">
        <w:rPr>
          <w:rFonts w:ascii="Times New Roman" w:hAnsi="Times New Roman" w:cs="Times New Roman"/>
          <w:lang w:val="en-US"/>
        </w:rPr>
        <w:t>found a much more modest increase in top 1</w:t>
      </w:r>
      <w:r w:rsidR="009E2E85">
        <w:rPr>
          <w:rFonts w:ascii="Times New Roman" w:hAnsi="Times New Roman" w:cs="Times New Roman"/>
          <w:lang w:val="en-US"/>
        </w:rPr>
        <w:t xml:space="preserve"> percent</w:t>
      </w:r>
      <w:r w:rsidR="006873C1">
        <w:rPr>
          <w:rFonts w:ascii="Times New Roman" w:hAnsi="Times New Roman" w:cs="Times New Roman"/>
          <w:lang w:val="en-US"/>
        </w:rPr>
        <w:t xml:space="preserve"> income shares.</w:t>
      </w:r>
      <w:r w:rsidR="00B809A8">
        <w:rPr>
          <w:rFonts w:ascii="Times New Roman" w:hAnsi="Times New Roman" w:cs="Times New Roman"/>
          <w:lang w:val="en-US"/>
        </w:rPr>
        <w:t xml:space="preserve"> </w:t>
      </w:r>
      <w:proofErr w:type="spellStart"/>
      <w:r w:rsidR="004303A6">
        <w:rPr>
          <w:rFonts w:ascii="Times New Roman" w:hAnsi="Times New Roman" w:cs="Times New Roman"/>
          <w:lang w:val="en-US"/>
        </w:rPr>
        <w:t>Auten</w:t>
      </w:r>
      <w:proofErr w:type="spellEnd"/>
      <w:r w:rsidR="004303A6">
        <w:rPr>
          <w:rFonts w:ascii="Times New Roman" w:hAnsi="Times New Roman" w:cs="Times New Roman"/>
          <w:lang w:val="en-US"/>
        </w:rPr>
        <w:t xml:space="preserve"> and Splinter use the individual </w:t>
      </w:r>
      <w:r w:rsidR="00397269">
        <w:rPr>
          <w:rFonts w:ascii="Times New Roman" w:hAnsi="Times New Roman" w:cs="Times New Roman"/>
          <w:lang w:val="en-US"/>
        </w:rPr>
        <w:t xml:space="preserve">adult </w:t>
      </w:r>
      <w:r w:rsidR="004303A6">
        <w:rPr>
          <w:rFonts w:ascii="Times New Roman" w:hAnsi="Times New Roman" w:cs="Times New Roman"/>
          <w:lang w:val="en-US"/>
        </w:rPr>
        <w:t xml:space="preserve">unit. </w:t>
      </w:r>
      <w:r w:rsidR="00265809">
        <w:rPr>
          <w:rFonts w:ascii="Times New Roman" w:hAnsi="Times New Roman" w:cs="Times New Roman"/>
          <w:lang w:val="en-US"/>
        </w:rPr>
        <w:t>All these</w:t>
      </w:r>
      <w:r w:rsidR="00B809A8">
        <w:rPr>
          <w:rFonts w:ascii="Times New Roman" w:hAnsi="Times New Roman" w:cs="Times New Roman"/>
          <w:lang w:val="en-US"/>
        </w:rPr>
        <w:t xml:space="preserve"> series are depicted on Figure 1.</w:t>
      </w:r>
    </w:p>
    <w:p w14:paraId="5585B56B" w14:textId="216720F9" w:rsidR="000E2D9B" w:rsidRDefault="005058C8" w:rsidP="00AD6F99">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T</w:t>
      </w:r>
      <w:r w:rsidR="00D31376">
        <w:rPr>
          <w:rFonts w:ascii="Times New Roman" w:hAnsi="Times New Roman" w:cs="Times New Roman"/>
          <w:lang w:val="en-US"/>
        </w:rPr>
        <w:t>o cast light on these</w:t>
      </w:r>
      <w:r w:rsidR="0040692E">
        <w:rPr>
          <w:rFonts w:ascii="Times New Roman" w:hAnsi="Times New Roman" w:cs="Times New Roman"/>
          <w:lang w:val="en-US"/>
        </w:rPr>
        <w:t xml:space="preserve"> discrepancies</w:t>
      </w:r>
      <w:r>
        <w:rPr>
          <w:rFonts w:ascii="Times New Roman" w:hAnsi="Times New Roman" w:cs="Times New Roman"/>
          <w:lang w:val="en-US"/>
        </w:rPr>
        <w:t xml:space="preserve"> and help understand better the overall plausibility of the large set of assumptions in PSZ and </w:t>
      </w:r>
      <w:proofErr w:type="spellStart"/>
      <w:r>
        <w:rPr>
          <w:rFonts w:ascii="Times New Roman" w:hAnsi="Times New Roman" w:cs="Times New Roman"/>
          <w:lang w:val="en-US"/>
        </w:rPr>
        <w:t>Auten</w:t>
      </w:r>
      <w:proofErr w:type="spellEnd"/>
      <w:r>
        <w:rPr>
          <w:rFonts w:ascii="Times New Roman" w:hAnsi="Times New Roman" w:cs="Times New Roman"/>
          <w:lang w:val="en-US"/>
        </w:rPr>
        <w:t xml:space="preserve"> and Splinter (2018), t</w:t>
      </w:r>
      <w:r w:rsidR="002D0CDC">
        <w:rPr>
          <w:rFonts w:ascii="Times New Roman" w:hAnsi="Times New Roman" w:cs="Times New Roman"/>
          <w:lang w:val="en-US"/>
        </w:rPr>
        <w:t>his paper</w:t>
      </w:r>
      <w:r w:rsidR="00B63866">
        <w:rPr>
          <w:rFonts w:ascii="Times New Roman" w:hAnsi="Times New Roman" w:cs="Times New Roman"/>
          <w:lang w:val="en-US"/>
        </w:rPr>
        <w:t xml:space="preserve"> develop</w:t>
      </w:r>
      <w:r w:rsidR="002D0CDC">
        <w:rPr>
          <w:rFonts w:ascii="Times New Roman" w:hAnsi="Times New Roman" w:cs="Times New Roman"/>
          <w:lang w:val="en-US"/>
        </w:rPr>
        <w:t>s</w:t>
      </w:r>
      <w:r w:rsidR="00B63866">
        <w:rPr>
          <w:rFonts w:ascii="Times New Roman" w:hAnsi="Times New Roman" w:cs="Times New Roman"/>
          <w:lang w:val="en-US"/>
        </w:rPr>
        <w:t xml:space="preserve"> a simplified </w:t>
      </w:r>
      <w:r w:rsidR="00971EBC">
        <w:rPr>
          <w:rFonts w:ascii="Times New Roman" w:hAnsi="Times New Roman" w:cs="Times New Roman"/>
          <w:lang w:val="en-US"/>
        </w:rPr>
        <w:t>methodology that starts from the fiscal income</w:t>
      </w:r>
      <w:r w:rsidR="008834C2">
        <w:rPr>
          <w:rFonts w:ascii="Times New Roman" w:hAnsi="Times New Roman" w:cs="Times New Roman"/>
          <w:lang w:val="en-US"/>
        </w:rPr>
        <w:t xml:space="preserve"> top income share series</w:t>
      </w:r>
      <w:r w:rsidR="00971EBC">
        <w:rPr>
          <w:rFonts w:ascii="Times New Roman" w:hAnsi="Times New Roman" w:cs="Times New Roman"/>
          <w:lang w:val="en-US"/>
        </w:rPr>
        <w:t xml:space="preserve"> and makes very basic assumptions on how each income component fro</w:t>
      </w:r>
      <w:r w:rsidR="00D660FD">
        <w:rPr>
          <w:rFonts w:ascii="Times New Roman" w:hAnsi="Times New Roman" w:cs="Times New Roman"/>
          <w:lang w:val="en-US"/>
        </w:rPr>
        <w:t>m national income that is not included in</w:t>
      </w:r>
      <w:r w:rsidR="00971EBC">
        <w:rPr>
          <w:rFonts w:ascii="Times New Roman" w:hAnsi="Times New Roman" w:cs="Times New Roman"/>
          <w:lang w:val="en-US"/>
        </w:rPr>
        <w:t xml:space="preserve"> fiscal income is distributed. </w:t>
      </w:r>
      <w:r w:rsidR="007853D9">
        <w:rPr>
          <w:rFonts w:ascii="Times New Roman" w:hAnsi="Times New Roman" w:cs="Times New Roman"/>
          <w:lang w:val="en-US"/>
        </w:rPr>
        <w:t>This simplified methodology</w:t>
      </w:r>
      <w:r w:rsidR="00FA3BAE">
        <w:rPr>
          <w:rFonts w:ascii="Times New Roman" w:hAnsi="Times New Roman" w:cs="Times New Roman"/>
          <w:lang w:val="en-US"/>
        </w:rPr>
        <w:t xml:space="preserve"> has two main goals. </w:t>
      </w:r>
    </w:p>
    <w:p w14:paraId="46217610" w14:textId="00F50498" w:rsidR="00941A58" w:rsidRDefault="00FA3BAE" w:rsidP="00AD6F99">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First</w:t>
      </w:r>
      <w:r w:rsidR="00407DB2">
        <w:rPr>
          <w:rFonts w:ascii="Times New Roman" w:hAnsi="Times New Roman" w:cs="Times New Roman"/>
          <w:lang w:val="en-US"/>
        </w:rPr>
        <w:t xml:space="preserve"> and most important</w:t>
      </w:r>
      <w:r>
        <w:rPr>
          <w:rFonts w:ascii="Times New Roman" w:hAnsi="Times New Roman" w:cs="Times New Roman"/>
          <w:lang w:val="en-US"/>
        </w:rPr>
        <w:t>, it</w:t>
      </w:r>
      <w:r w:rsidR="007853D9">
        <w:rPr>
          <w:rFonts w:ascii="Times New Roman" w:hAnsi="Times New Roman" w:cs="Times New Roman"/>
          <w:lang w:val="en-US"/>
        </w:rPr>
        <w:t xml:space="preserve"> can be used to create distributional national income statistics in countries where fiscal income inequality statistics are available but where there is limited information to impute other income at the individual level.</w:t>
      </w:r>
      <w:r w:rsidR="00B13004">
        <w:rPr>
          <w:rFonts w:ascii="Times New Roman" w:hAnsi="Times New Roman" w:cs="Times New Roman"/>
          <w:lang w:val="en-US"/>
        </w:rPr>
        <w:t xml:space="preserve"> </w:t>
      </w:r>
      <w:proofErr w:type="spellStart"/>
      <w:r w:rsidR="00AE5C83">
        <w:rPr>
          <w:rFonts w:ascii="Times New Roman" w:hAnsi="Times New Roman" w:cs="Times New Roman"/>
          <w:lang w:val="en-US"/>
        </w:rPr>
        <w:t>Alvaredo</w:t>
      </w:r>
      <w:proofErr w:type="spellEnd"/>
      <w:r w:rsidR="00AE5C83">
        <w:rPr>
          <w:rFonts w:ascii="Times New Roman" w:hAnsi="Times New Roman" w:cs="Times New Roman"/>
          <w:lang w:val="en-US"/>
        </w:rPr>
        <w:t xml:space="preserve"> et al. (2016) distributional national accounts guidelines proposed a simplified methodology for countries with less data (Section 7). The methodology proposed here can be seen as an even s</w:t>
      </w:r>
      <w:r w:rsidR="00B04231">
        <w:rPr>
          <w:rFonts w:ascii="Times New Roman" w:hAnsi="Times New Roman" w:cs="Times New Roman"/>
          <w:lang w:val="en-US"/>
        </w:rPr>
        <w:t xml:space="preserve">impler method that can </w:t>
      </w:r>
      <w:r w:rsidR="00AE5C83">
        <w:rPr>
          <w:rFonts w:ascii="Times New Roman" w:hAnsi="Times New Roman" w:cs="Times New Roman"/>
          <w:lang w:val="en-US"/>
        </w:rPr>
        <w:t>be applied</w:t>
      </w:r>
      <w:r w:rsidR="00B04231">
        <w:rPr>
          <w:rFonts w:ascii="Times New Roman" w:hAnsi="Times New Roman" w:cs="Times New Roman"/>
          <w:lang w:val="en-US"/>
        </w:rPr>
        <w:t xml:space="preserve"> to countries for which fiscal income to</w:t>
      </w:r>
      <w:r w:rsidR="006F40CB">
        <w:rPr>
          <w:rFonts w:ascii="Times New Roman" w:hAnsi="Times New Roman" w:cs="Times New Roman"/>
          <w:lang w:val="en-US"/>
        </w:rPr>
        <w:t>p</w:t>
      </w:r>
      <w:r w:rsidR="002B06D7">
        <w:rPr>
          <w:rFonts w:ascii="Times New Roman" w:hAnsi="Times New Roman" w:cs="Times New Roman"/>
          <w:lang w:val="en-US"/>
        </w:rPr>
        <w:t xml:space="preserve"> income share statistics exist</w:t>
      </w:r>
      <w:r w:rsidR="002B06D7">
        <w:rPr>
          <w:rStyle w:val="FootnoteReference"/>
          <w:rFonts w:ascii="Times New Roman" w:hAnsi="Times New Roman" w:cs="Times New Roman"/>
          <w:lang w:val="en-US"/>
        </w:rPr>
        <w:footnoteReference w:id="2"/>
      </w:r>
      <w:r w:rsidR="002B06D7">
        <w:rPr>
          <w:rFonts w:ascii="Times New Roman" w:hAnsi="Times New Roman" w:cs="Times New Roman"/>
          <w:lang w:val="en-US"/>
        </w:rPr>
        <w:t xml:space="preserve"> </w:t>
      </w:r>
      <w:r w:rsidR="003F3AD5">
        <w:rPr>
          <w:rFonts w:ascii="Times New Roman" w:hAnsi="Times New Roman" w:cs="Times New Roman"/>
          <w:lang w:val="en-US"/>
        </w:rPr>
        <w:t>and for which national accounts and fiscal income aggregates are sufficiently detailed.</w:t>
      </w:r>
      <w:r w:rsidR="00AE5C83">
        <w:rPr>
          <w:rFonts w:ascii="Times New Roman" w:hAnsi="Times New Roman" w:cs="Times New Roman"/>
          <w:lang w:val="en-US"/>
        </w:rPr>
        <w:t xml:space="preserve"> </w:t>
      </w:r>
    </w:p>
    <w:p w14:paraId="6A3675EB" w14:textId="4517DD07" w:rsidR="005E2881" w:rsidRDefault="00F812D2" w:rsidP="00AD6F99">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Second, t</w:t>
      </w:r>
      <w:r w:rsidR="00B13004">
        <w:rPr>
          <w:rFonts w:ascii="Times New Roman" w:hAnsi="Times New Roman" w:cs="Times New Roman"/>
          <w:lang w:val="en-US"/>
        </w:rPr>
        <w:t xml:space="preserve">his simplified methodology can also </w:t>
      </w:r>
      <w:r>
        <w:rPr>
          <w:rFonts w:ascii="Times New Roman" w:hAnsi="Times New Roman" w:cs="Times New Roman"/>
          <w:lang w:val="en-US"/>
        </w:rPr>
        <w:t>be used to assess the plausibility of the PSZ assumptions.</w:t>
      </w:r>
      <w:r w:rsidR="0067595A">
        <w:rPr>
          <w:rFonts w:ascii="Times New Roman" w:hAnsi="Times New Roman" w:cs="Times New Roman"/>
          <w:lang w:val="en-US"/>
        </w:rPr>
        <w:t xml:space="preserve"> </w:t>
      </w:r>
      <w:r w:rsidR="006873C1">
        <w:rPr>
          <w:rFonts w:ascii="Times New Roman" w:hAnsi="Times New Roman" w:cs="Times New Roman"/>
          <w:lang w:val="en-US"/>
        </w:rPr>
        <w:t xml:space="preserve">In particular, we will show that the simplified methodology can be used to show that the alternative assumptions proposed by </w:t>
      </w:r>
      <w:proofErr w:type="spellStart"/>
      <w:r w:rsidR="006873C1">
        <w:rPr>
          <w:rFonts w:ascii="Times New Roman" w:hAnsi="Times New Roman" w:cs="Times New Roman"/>
          <w:lang w:val="en-US"/>
        </w:rPr>
        <w:t>Auten</w:t>
      </w:r>
      <w:proofErr w:type="spellEnd"/>
      <w:r w:rsidR="006873C1">
        <w:rPr>
          <w:rFonts w:ascii="Times New Roman" w:hAnsi="Times New Roman" w:cs="Times New Roman"/>
          <w:lang w:val="en-US"/>
        </w:rPr>
        <w:t xml:space="preserve"> and Splinter (2018) </w:t>
      </w:r>
      <w:r w:rsidR="00AE5C83">
        <w:rPr>
          <w:rFonts w:ascii="Times New Roman" w:hAnsi="Times New Roman" w:cs="Times New Roman"/>
          <w:lang w:val="en-US"/>
        </w:rPr>
        <w:t>imply a drastic equalization of income components not in fiscal income which does not seem realistic</w:t>
      </w:r>
      <w:r w:rsidR="008C522D">
        <w:rPr>
          <w:rFonts w:ascii="Times New Roman" w:hAnsi="Times New Roman" w:cs="Times New Roman"/>
          <w:lang w:val="en-US"/>
        </w:rPr>
        <w:t xml:space="preserve">. </w:t>
      </w:r>
    </w:p>
    <w:p w14:paraId="39A00155" w14:textId="77777777" w:rsidR="003A4654" w:rsidRDefault="003A4654" w:rsidP="005E2881">
      <w:pPr>
        <w:spacing w:after="120" w:line="360" w:lineRule="auto"/>
        <w:jc w:val="both"/>
        <w:rPr>
          <w:rFonts w:ascii="Times New Roman" w:hAnsi="Times New Roman" w:cs="Times New Roman"/>
          <w:lang w:val="en-US"/>
        </w:rPr>
      </w:pPr>
    </w:p>
    <w:p w14:paraId="5B243A86" w14:textId="37CE73A6" w:rsidR="0034720E" w:rsidRPr="00A00006" w:rsidRDefault="00411E4B" w:rsidP="009E2E85">
      <w:pPr>
        <w:spacing w:after="120" w:line="360" w:lineRule="auto"/>
        <w:jc w:val="both"/>
        <w:outlineLvl w:val="0"/>
        <w:rPr>
          <w:rFonts w:ascii="Times New Roman" w:hAnsi="Times New Roman" w:cs="Times New Roman"/>
          <w:b/>
          <w:lang w:val="en-US"/>
        </w:rPr>
      </w:pPr>
      <w:r w:rsidRPr="00A00006">
        <w:rPr>
          <w:rFonts w:ascii="Times New Roman" w:hAnsi="Times New Roman" w:cs="Times New Roman"/>
          <w:b/>
          <w:lang w:val="en-US"/>
        </w:rPr>
        <w:t xml:space="preserve">I. </w:t>
      </w:r>
      <w:r w:rsidR="0034720E" w:rsidRPr="00A00006">
        <w:rPr>
          <w:rFonts w:ascii="Times New Roman" w:hAnsi="Times New Roman" w:cs="Times New Roman"/>
          <w:b/>
          <w:lang w:val="en-US"/>
        </w:rPr>
        <w:t>Simplified D</w:t>
      </w:r>
      <w:r w:rsidR="0090414D" w:rsidRPr="00A00006">
        <w:rPr>
          <w:rFonts w:ascii="Times New Roman" w:hAnsi="Times New Roman" w:cs="Times New Roman"/>
          <w:b/>
          <w:lang w:val="en-US"/>
        </w:rPr>
        <w:t>istributional National Accounts</w:t>
      </w:r>
    </w:p>
    <w:p w14:paraId="33F370C4" w14:textId="01DC0529" w:rsidR="009D0980" w:rsidRDefault="009D0980" w:rsidP="008E0125">
      <w:pPr>
        <w:spacing w:after="120" w:line="360" w:lineRule="auto"/>
        <w:jc w:val="both"/>
        <w:rPr>
          <w:rFonts w:ascii="Times New Roman" w:hAnsi="Times New Roman" w:cs="Times New Roman"/>
          <w:lang w:val="en-US"/>
        </w:rPr>
      </w:pPr>
      <w:r>
        <w:rPr>
          <w:rFonts w:ascii="Times New Roman" w:hAnsi="Times New Roman" w:cs="Times New Roman"/>
          <w:lang w:val="en-US"/>
        </w:rPr>
        <w:lastRenderedPageBreak/>
        <w:t>In what follows, we focus solely on pre-tax national income defined as market income</w:t>
      </w:r>
      <w:r w:rsidR="00FE36D2">
        <w:rPr>
          <w:rFonts w:ascii="Times New Roman" w:hAnsi="Times New Roman" w:cs="Times New Roman"/>
          <w:lang w:val="en-US"/>
        </w:rPr>
        <w:t xml:space="preserve"> after the operation of public and private pension systems (i.e., net of pension contributions either public through social security payroll taxes or private through defined benefit and defined contributions pension plans and including all pension benefits public and private). </w:t>
      </w:r>
      <w:r w:rsidR="00D91035">
        <w:rPr>
          <w:rFonts w:ascii="Times New Roman" w:hAnsi="Times New Roman" w:cs="Times New Roman"/>
          <w:lang w:val="en-US"/>
        </w:rPr>
        <w:t>Pre-tax national income is before all taxes (except payroll taxes funding social security benefits) and before any government transfer</w:t>
      </w:r>
      <w:r w:rsidR="004D1B8F">
        <w:rPr>
          <w:rFonts w:ascii="Times New Roman" w:hAnsi="Times New Roman" w:cs="Times New Roman"/>
          <w:lang w:val="en-US"/>
        </w:rPr>
        <w:t>s</w:t>
      </w:r>
      <w:r w:rsidR="00D91035">
        <w:rPr>
          <w:rFonts w:ascii="Times New Roman" w:hAnsi="Times New Roman" w:cs="Times New Roman"/>
          <w:lang w:val="en-US"/>
        </w:rPr>
        <w:t xml:space="preserve"> (except public pensions). As discussed extensively in </w:t>
      </w:r>
      <w:proofErr w:type="spellStart"/>
      <w:r w:rsidR="00D91035">
        <w:rPr>
          <w:rFonts w:ascii="Times New Roman" w:hAnsi="Times New Roman" w:cs="Times New Roman"/>
          <w:lang w:val="en-US"/>
        </w:rPr>
        <w:t>Alvaredo</w:t>
      </w:r>
      <w:proofErr w:type="spellEnd"/>
      <w:r w:rsidR="00D91035">
        <w:rPr>
          <w:rFonts w:ascii="Times New Roman" w:hAnsi="Times New Roman" w:cs="Times New Roman"/>
          <w:lang w:val="en-US"/>
        </w:rPr>
        <w:t xml:space="preserve"> et al. (2016) </w:t>
      </w:r>
      <w:r w:rsidR="00647BE9">
        <w:rPr>
          <w:rFonts w:ascii="Times New Roman" w:hAnsi="Times New Roman" w:cs="Times New Roman"/>
          <w:lang w:val="en-US"/>
        </w:rPr>
        <w:t>distributional national accounts</w:t>
      </w:r>
      <w:r w:rsidR="00D91035">
        <w:rPr>
          <w:rFonts w:ascii="Times New Roman" w:hAnsi="Times New Roman" w:cs="Times New Roman"/>
          <w:lang w:val="en-US"/>
        </w:rPr>
        <w:t xml:space="preserve"> guidelines, </w:t>
      </w:r>
      <w:r w:rsidR="004F1D3E">
        <w:rPr>
          <w:rFonts w:ascii="Times New Roman" w:hAnsi="Times New Roman" w:cs="Times New Roman"/>
          <w:lang w:val="en-US"/>
        </w:rPr>
        <w:t xml:space="preserve">considering income after the operation of pension systems allows to </w:t>
      </w:r>
      <w:r w:rsidR="00470079">
        <w:rPr>
          <w:rFonts w:ascii="Times New Roman" w:hAnsi="Times New Roman" w:cs="Times New Roman"/>
          <w:lang w:val="en-US"/>
        </w:rPr>
        <w:t xml:space="preserve">control for the effects of aging (as retirees typically have very little factor income) and whether a country organizes pensions privately or publicly. </w:t>
      </w:r>
      <w:r w:rsidR="00AE1FAA">
        <w:rPr>
          <w:rFonts w:ascii="Times New Roman" w:hAnsi="Times New Roman" w:cs="Times New Roman"/>
          <w:lang w:val="en-US"/>
        </w:rPr>
        <w:t>PSZ pre-tax income</w:t>
      </w:r>
      <w:r w:rsidR="00721A42">
        <w:rPr>
          <w:rFonts w:ascii="Times New Roman" w:hAnsi="Times New Roman" w:cs="Times New Roman"/>
          <w:lang w:val="en-US"/>
        </w:rPr>
        <w:t xml:space="preserve"> benchmark</w:t>
      </w:r>
      <w:r w:rsidR="00AE1FAA">
        <w:rPr>
          <w:rFonts w:ascii="Times New Roman" w:hAnsi="Times New Roman" w:cs="Times New Roman"/>
          <w:lang w:val="en-US"/>
        </w:rPr>
        <w:t xml:space="preserve"> series also use this pre-tax national income </w:t>
      </w:r>
      <w:r w:rsidR="008E7B88">
        <w:rPr>
          <w:rFonts w:ascii="Times New Roman" w:hAnsi="Times New Roman" w:cs="Times New Roman"/>
          <w:lang w:val="en-US"/>
        </w:rPr>
        <w:t>definition</w:t>
      </w:r>
      <w:r w:rsidR="00AE1FAA">
        <w:rPr>
          <w:rFonts w:ascii="Times New Roman" w:hAnsi="Times New Roman" w:cs="Times New Roman"/>
          <w:lang w:val="en-US"/>
        </w:rPr>
        <w:t>.</w:t>
      </w:r>
    </w:p>
    <w:p w14:paraId="0F636BE5" w14:textId="07138DA9" w:rsidR="00DA7179" w:rsidRDefault="00C54B3F" w:rsidP="008E0125">
      <w:pPr>
        <w:spacing w:after="120" w:line="360" w:lineRule="auto"/>
        <w:jc w:val="both"/>
        <w:rPr>
          <w:rFonts w:ascii="Times New Roman" w:hAnsi="Times New Roman" w:cs="Times New Roman"/>
          <w:lang w:val="en-US"/>
        </w:rPr>
      </w:pPr>
      <w:r>
        <w:rPr>
          <w:rFonts w:ascii="Times New Roman" w:hAnsi="Times New Roman" w:cs="Times New Roman"/>
          <w:lang w:val="en-US"/>
        </w:rPr>
        <w:t xml:space="preserve">We consider tax units (as opposed to individual adults as in the main PSZ series) because fiscal income series by </w:t>
      </w:r>
      <w:proofErr w:type="spellStart"/>
      <w:r>
        <w:rPr>
          <w:rFonts w:ascii="Times New Roman" w:hAnsi="Times New Roman" w:cs="Times New Roman"/>
          <w:lang w:val="en-US"/>
        </w:rPr>
        <w:t>Piketty</w:t>
      </w:r>
      <w:proofErr w:type="spellEnd"/>
      <w:r>
        <w:rPr>
          <w:rFonts w:ascii="Times New Roman" w:hAnsi="Times New Roman" w:cs="Times New Roman"/>
          <w:lang w:val="en-US"/>
        </w:rPr>
        <w:t xml:space="preserve"> and Saez (2003) are based on tax units (following the </w:t>
      </w:r>
      <w:r w:rsidR="005C1A3B">
        <w:rPr>
          <w:rFonts w:ascii="Times New Roman" w:hAnsi="Times New Roman" w:cs="Times New Roman"/>
          <w:lang w:val="en-US"/>
        </w:rPr>
        <w:t xml:space="preserve">tax definition). </w:t>
      </w:r>
      <w:r w:rsidR="006365DC">
        <w:rPr>
          <w:rFonts w:ascii="Times New Roman" w:hAnsi="Times New Roman" w:cs="Times New Roman"/>
          <w:lang w:val="en-US"/>
        </w:rPr>
        <w:t xml:space="preserve">Moving from tax units to individual units with income equally split </w:t>
      </w:r>
      <w:r w:rsidR="00357905">
        <w:rPr>
          <w:rFonts w:ascii="Times New Roman" w:hAnsi="Times New Roman" w:cs="Times New Roman"/>
          <w:lang w:val="en-US"/>
        </w:rPr>
        <w:t>within</w:t>
      </w:r>
      <w:r w:rsidR="006365DC">
        <w:rPr>
          <w:rFonts w:ascii="Times New Roman" w:hAnsi="Times New Roman" w:cs="Times New Roman"/>
          <w:lang w:val="en-US"/>
        </w:rPr>
        <w:t xml:space="preserve"> married couples (the benchmark series of PSZ) is fairly </w:t>
      </w:r>
      <w:r w:rsidR="00B97147">
        <w:rPr>
          <w:rFonts w:ascii="Times New Roman" w:hAnsi="Times New Roman" w:cs="Times New Roman"/>
          <w:lang w:val="en-US"/>
        </w:rPr>
        <w:t xml:space="preserve">easy to do but would require </w:t>
      </w:r>
      <w:r w:rsidR="0098488C">
        <w:rPr>
          <w:rFonts w:ascii="Times New Roman" w:hAnsi="Times New Roman" w:cs="Times New Roman"/>
          <w:lang w:val="en-US"/>
        </w:rPr>
        <w:t xml:space="preserve">re-computing </w:t>
      </w:r>
      <w:r w:rsidR="006365DC">
        <w:rPr>
          <w:rFonts w:ascii="Times New Roman" w:hAnsi="Times New Roman" w:cs="Times New Roman"/>
          <w:lang w:val="en-US"/>
        </w:rPr>
        <w:t>fiscal income series.</w:t>
      </w:r>
      <w:r w:rsidR="00020CA9">
        <w:rPr>
          <w:rFonts w:ascii="Times New Roman" w:hAnsi="Times New Roman" w:cs="Times New Roman"/>
          <w:lang w:val="en-US"/>
        </w:rPr>
        <w:t xml:space="preserve"> As shown in Figure 1, </w:t>
      </w:r>
      <w:r w:rsidR="00357905">
        <w:rPr>
          <w:rFonts w:ascii="Times New Roman" w:hAnsi="Times New Roman" w:cs="Times New Roman"/>
          <w:lang w:val="en-US"/>
        </w:rPr>
        <w:t xml:space="preserve">using tax units vs. the individual adult (with equal split within married couples) has only a very minor effect on series </w:t>
      </w:r>
      <w:r w:rsidR="00C965F2">
        <w:rPr>
          <w:rFonts w:ascii="Times New Roman" w:hAnsi="Times New Roman" w:cs="Times New Roman"/>
          <w:lang w:val="en-US"/>
        </w:rPr>
        <w:t>as displayed in Figure 1.</w:t>
      </w:r>
      <w:r w:rsidR="00B25BBC">
        <w:rPr>
          <w:rStyle w:val="FootnoteReference"/>
          <w:rFonts w:ascii="Times New Roman" w:hAnsi="Times New Roman" w:cs="Times New Roman"/>
          <w:lang w:val="en-US"/>
        </w:rPr>
        <w:footnoteReference w:id="3"/>
      </w:r>
      <w:r w:rsidR="00C62607">
        <w:rPr>
          <w:rFonts w:ascii="Times New Roman" w:hAnsi="Times New Roman" w:cs="Times New Roman"/>
          <w:lang w:val="en-US"/>
        </w:rPr>
        <w:t xml:space="preserve"> </w:t>
      </w:r>
    </w:p>
    <w:p w14:paraId="567FCCA6" w14:textId="490ECA33" w:rsidR="000F7F95" w:rsidRDefault="006365DC" w:rsidP="005626C2">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To simplify th</w:t>
      </w:r>
      <w:r w:rsidR="00845D8F" w:rsidRPr="00845D8F">
        <w:rPr>
          <w:rFonts w:ascii="Times New Roman" w:hAnsi="Times New Roman" w:cs="Times New Roman"/>
          <w:lang w:val="en-US"/>
        </w:rPr>
        <w:t>e exposition, here as in the rest of the computations presented below, we exclude taxes on products and production (primarily sales and excise taxes) from national income. This implies that we consider factor-price national income (instead of full national income). This has no consequence on the distributional analysis as distributional national income methodology distributes taxes on products and production proportionally to factor-price national income on a pre-tax basis.</w:t>
      </w:r>
      <w:r w:rsidR="0049021C">
        <w:rPr>
          <w:rFonts w:ascii="Times New Roman" w:hAnsi="Times New Roman" w:cs="Times New Roman"/>
          <w:lang w:val="en-US"/>
        </w:rPr>
        <w:t xml:space="preserve"> Conceptually, </w:t>
      </w:r>
      <w:r w:rsidR="000F7F95">
        <w:rPr>
          <w:rFonts w:ascii="Times New Roman" w:hAnsi="Times New Roman" w:cs="Times New Roman"/>
          <w:lang w:val="en-US"/>
        </w:rPr>
        <w:t xml:space="preserve">factor-price national income can be seen as the income that would allow </w:t>
      </w:r>
      <w:proofErr w:type="gramStart"/>
      <w:r w:rsidR="000F7F95">
        <w:rPr>
          <w:rFonts w:ascii="Times New Roman" w:hAnsi="Times New Roman" w:cs="Times New Roman"/>
          <w:lang w:val="en-US"/>
        </w:rPr>
        <w:t>to buy</w:t>
      </w:r>
      <w:proofErr w:type="gramEnd"/>
      <w:r w:rsidR="000F7F95">
        <w:rPr>
          <w:rFonts w:ascii="Times New Roman" w:hAnsi="Times New Roman" w:cs="Times New Roman"/>
          <w:lang w:val="en-US"/>
        </w:rPr>
        <w:t xml:space="preserve"> all the production carried out by the factors (labor and capital) owned by residents provided that this production can be bought at prices that do not include </w:t>
      </w:r>
      <w:r w:rsidR="006D7905">
        <w:rPr>
          <w:rFonts w:ascii="Times New Roman" w:hAnsi="Times New Roman" w:cs="Times New Roman"/>
          <w:lang w:val="en-US"/>
        </w:rPr>
        <w:t xml:space="preserve">taxes on products and production. </w:t>
      </w:r>
      <w:r w:rsidR="000C002C" w:rsidRPr="000C002C">
        <w:rPr>
          <w:rFonts w:ascii="Times New Roman" w:hAnsi="Times New Roman" w:cs="Times New Roman"/>
          <w:lang w:val="en-US"/>
        </w:rPr>
        <w:t xml:space="preserve">The evolution of </w:t>
      </w:r>
      <w:r w:rsidR="000C002C">
        <w:rPr>
          <w:rFonts w:ascii="Times New Roman" w:hAnsi="Times New Roman" w:cs="Times New Roman"/>
          <w:lang w:val="en-US"/>
        </w:rPr>
        <w:t>taxes on products and production</w:t>
      </w:r>
      <w:r w:rsidR="000C002C" w:rsidRPr="000C002C">
        <w:rPr>
          <w:rFonts w:ascii="Times New Roman" w:hAnsi="Times New Roman" w:cs="Times New Roman"/>
          <w:lang w:val="en-US"/>
        </w:rPr>
        <w:t xml:space="preserve"> has only a </w:t>
      </w:r>
      <w:r w:rsidR="001B489B">
        <w:rPr>
          <w:rFonts w:ascii="Times New Roman" w:hAnsi="Times New Roman" w:cs="Times New Roman"/>
          <w:lang w:val="en-US"/>
        </w:rPr>
        <w:t>very modest</w:t>
      </w:r>
      <w:r w:rsidR="000C002C" w:rsidRPr="000C002C">
        <w:rPr>
          <w:rFonts w:ascii="Times New Roman" w:hAnsi="Times New Roman" w:cs="Times New Roman"/>
          <w:lang w:val="en-US"/>
        </w:rPr>
        <w:t xml:space="preserve"> effec</w:t>
      </w:r>
      <w:r w:rsidR="002D4B4D">
        <w:rPr>
          <w:rFonts w:ascii="Times New Roman" w:hAnsi="Times New Roman" w:cs="Times New Roman"/>
          <w:lang w:val="en-US"/>
        </w:rPr>
        <w:t>t on the evolution of the top 1</w:t>
      </w:r>
      <w:r w:rsidR="009E2E85">
        <w:rPr>
          <w:rFonts w:ascii="Times New Roman" w:hAnsi="Times New Roman" w:cs="Times New Roman"/>
          <w:lang w:val="en-US"/>
        </w:rPr>
        <w:t xml:space="preserve"> percent</w:t>
      </w:r>
      <w:r w:rsidR="00B9197F">
        <w:rPr>
          <w:rFonts w:ascii="Times New Roman" w:hAnsi="Times New Roman" w:cs="Times New Roman"/>
          <w:lang w:val="en-US"/>
        </w:rPr>
        <w:t xml:space="preserve"> income share</w:t>
      </w:r>
      <w:r w:rsidR="000C002C" w:rsidRPr="000C002C">
        <w:rPr>
          <w:rFonts w:ascii="Times New Roman" w:hAnsi="Times New Roman" w:cs="Times New Roman"/>
          <w:lang w:val="en-US"/>
        </w:rPr>
        <w:t>.</w:t>
      </w:r>
    </w:p>
    <w:p w14:paraId="2E2CEB72" w14:textId="54C54314" w:rsidR="008E0125" w:rsidRDefault="00817F54" w:rsidP="00583210">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lastRenderedPageBreak/>
        <w:t xml:space="preserve">The simplified methodology starts with the fiscal income top income share series developed by </w:t>
      </w:r>
      <w:proofErr w:type="spellStart"/>
      <w:r>
        <w:rPr>
          <w:rFonts w:ascii="Times New Roman" w:hAnsi="Times New Roman" w:cs="Times New Roman"/>
          <w:lang w:val="en-US"/>
        </w:rPr>
        <w:t>Piketty</w:t>
      </w:r>
      <w:proofErr w:type="spellEnd"/>
      <w:r>
        <w:rPr>
          <w:rFonts w:ascii="Times New Roman" w:hAnsi="Times New Roman" w:cs="Times New Roman"/>
          <w:lang w:val="en-US"/>
        </w:rPr>
        <w:t xml:space="preserve"> and Saez (2003). </w:t>
      </w:r>
      <w:r w:rsidR="00820F5E">
        <w:rPr>
          <w:rFonts w:ascii="Times New Roman" w:hAnsi="Times New Roman" w:cs="Times New Roman"/>
          <w:lang w:val="en-US"/>
        </w:rPr>
        <w:t>As shown on Figure 1, t</w:t>
      </w:r>
      <w:r w:rsidR="00A96EEF">
        <w:rPr>
          <w:rFonts w:ascii="Times New Roman" w:hAnsi="Times New Roman" w:cs="Times New Roman"/>
          <w:lang w:val="en-US"/>
        </w:rPr>
        <w:t>he top 1</w:t>
      </w:r>
      <w:r w:rsidR="009E2E85">
        <w:rPr>
          <w:rFonts w:ascii="Times New Roman" w:hAnsi="Times New Roman" w:cs="Times New Roman"/>
          <w:lang w:val="en-US"/>
        </w:rPr>
        <w:t xml:space="preserve"> percent</w:t>
      </w:r>
      <w:r w:rsidR="00E93B88" w:rsidRPr="00E93B88">
        <w:rPr>
          <w:rFonts w:ascii="Times New Roman" w:hAnsi="Times New Roman" w:cs="Times New Roman"/>
          <w:lang w:val="en-US"/>
        </w:rPr>
        <w:t xml:space="preserve"> fiscal income share (excluding capita</w:t>
      </w:r>
      <w:r w:rsidR="0065366D">
        <w:rPr>
          <w:rFonts w:ascii="Times New Roman" w:hAnsi="Times New Roman" w:cs="Times New Roman"/>
          <w:lang w:val="en-US"/>
        </w:rPr>
        <w:t>l gains) has increased from 8.4</w:t>
      </w:r>
      <w:r w:rsidR="009E2E85">
        <w:rPr>
          <w:rFonts w:ascii="Times New Roman" w:hAnsi="Times New Roman" w:cs="Times New Roman"/>
          <w:lang w:val="en-US"/>
        </w:rPr>
        <w:t xml:space="preserve"> percent</w:t>
      </w:r>
      <w:r w:rsidR="002417C1">
        <w:rPr>
          <w:rFonts w:ascii="Times New Roman" w:hAnsi="Times New Roman" w:cs="Times New Roman"/>
          <w:lang w:val="en-US"/>
        </w:rPr>
        <w:t xml:space="preserve"> in 1960 to 17.8</w:t>
      </w:r>
      <w:r w:rsidR="009E2E85">
        <w:rPr>
          <w:rFonts w:ascii="Times New Roman" w:hAnsi="Times New Roman" w:cs="Times New Roman"/>
          <w:lang w:val="en-US"/>
        </w:rPr>
        <w:t xml:space="preserve"> percent</w:t>
      </w:r>
      <w:r w:rsidR="00113F14">
        <w:rPr>
          <w:rFonts w:ascii="Times New Roman" w:hAnsi="Times New Roman" w:cs="Times New Roman"/>
          <w:lang w:val="en-US"/>
        </w:rPr>
        <w:t xml:space="preserve"> in 2016</w:t>
      </w:r>
      <w:r w:rsidR="00E93B88" w:rsidRPr="00E93B88">
        <w:rPr>
          <w:rFonts w:ascii="Times New Roman" w:hAnsi="Times New Roman" w:cs="Times New Roman"/>
          <w:lang w:val="en-US"/>
        </w:rPr>
        <w:t xml:space="preserve">. </w:t>
      </w:r>
      <w:r w:rsidR="008E0125" w:rsidRPr="00E93B88">
        <w:rPr>
          <w:rFonts w:ascii="Times New Roman" w:hAnsi="Times New Roman" w:cs="Times New Roman"/>
          <w:lang w:val="en-US"/>
        </w:rPr>
        <w:t>Everybody agrees that the concentration of reported fiscal income has increased a lot since 1960. This is uncontroversial because this</w:t>
      </w:r>
      <w:r w:rsidR="003D18B3">
        <w:rPr>
          <w:rFonts w:ascii="Times New Roman" w:hAnsi="Times New Roman" w:cs="Times New Roman"/>
          <w:lang w:val="en-US"/>
        </w:rPr>
        <w:t xml:space="preserve"> fiscal</w:t>
      </w:r>
      <w:r w:rsidR="008E0125" w:rsidRPr="00E93B88">
        <w:rPr>
          <w:rFonts w:ascii="Times New Roman" w:hAnsi="Times New Roman" w:cs="Times New Roman"/>
          <w:lang w:val="en-US"/>
        </w:rPr>
        <w:t xml:space="preserve"> income is directly </w:t>
      </w:r>
      <w:r w:rsidR="008E0125">
        <w:rPr>
          <w:rFonts w:ascii="Times New Roman" w:hAnsi="Times New Roman" w:cs="Times New Roman"/>
          <w:lang w:val="en-US"/>
        </w:rPr>
        <w:t>observable</w:t>
      </w:r>
      <w:r w:rsidR="008E0125" w:rsidRPr="00E93B88">
        <w:rPr>
          <w:rFonts w:ascii="Times New Roman" w:hAnsi="Times New Roman" w:cs="Times New Roman"/>
          <w:lang w:val="en-US"/>
        </w:rPr>
        <w:t xml:space="preserve"> in tax data.</w:t>
      </w:r>
    </w:p>
    <w:p w14:paraId="108EA23A" w14:textId="6CB374CA" w:rsidR="00692D93" w:rsidRPr="00E93B88" w:rsidRDefault="00E93B88" w:rsidP="00583210">
      <w:pPr>
        <w:spacing w:after="120" w:line="360" w:lineRule="auto"/>
        <w:ind w:firstLine="708"/>
        <w:jc w:val="both"/>
        <w:rPr>
          <w:rFonts w:ascii="Times New Roman" w:hAnsi="Times New Roman" w:cs="Times New Roman"/>
          <w:lang w:val="en-US"/>
        </w:rPr>
      </w:pPr>
      <w:r w:rsidRPr="00E93B88">
        <w:rPr>
          <w:rFonts w:ascii="Times New Roman" w:hAnsi="Times New Roman" w:cs="Times New Roman"/>
          <w:lang w:val="en-US"/>
        </w:rPr>
        <w:t>Reported fiscal income (excludi</w:t>
      </w:r>
      <w:r w:rsidR="000F3A4E">
        <w:rPr>
          <w:rFonts w:ascii="Times New Roman" w:hAnsi="Times New Roman" w:cs="Times New Roman"/>
          <w:lang w:val="en-US"/>
        </w:rPr>
        <w:t>ng capital gains) adds up to 64</w:t>
      </w:r>
      <w:r w:rsidR="009E2E85">
        <w:rPr>
          <w:rFonts w:ascii="Times New Roman" w:hAnsi="Times New Roman" w:cs="Times New Roman"/>
          <w:lang w:val="en-US"/>
        </w:rPr>
        <w:t xml:space="preserve"> percent</w:t>
      </w:r>
      <w:r w:rsidRPr="00E93B88">
        <w:rPr>
          <w:rFonts w:ascii="Times New Roman" w:hAnsi="Times New Roman" w:cs="Times New Roman"/>
          <w:lang w:val="en-US"/>
        </w:rPr>
        <w:t xml:space="preserve"> of </w:t>
      </w:r>
      <w:r w:rsidR="00253219">
        <w:rPr>
          <w:rFonts w:ascii="Times New Roman" w:hAnsi="Times New Roman" w:cs="Times New Roman"/>
          <w:lang w:val="en-US"/>
        </w:rPr>
        <w:t xml:space="preserve">factor-price </w:t>
      </w:r>
      <w:r w:rsidRPr="00E93B88">
        <w:rPr>
          <w:rFonts w:ascii="Times New Roman" w:hAnsi="Times New Roman" w:cs="Times New Roman"/>
          <w:lang w:val="en-US"/>
        </w:rPr>
        <w:t>nation</w:t>
      </w:r>
      <w:r w:rsidR="00176CDB">
        <w:rPr>
          <w:rFonts w:ascii="Times New Roman" w:hAnsi="Times New Roman" w:cs="Times New Roman"/>
          <w:lang w:val="en-US"/>
        </w:rPr>
        <w:t xml:space="preserve">al income in 2016 </w:t>
      </w:r>
      <w:r w:rsidR="001B045F">
        <w:rPr>
          <w:rFonts w:ascii="Times New Roman" w:hAnsi="Times New Roman" w:cs="Times New Roman"/>
          <w:lang w:val="en-US"/>
        </w:rPr>
        <w:t>down from 70</w:t>
      </w:r>
      <w:r w:rsidR="009E2E85">
        <w:rPr>
          <w:rFonts w:ascii="Times New Roman" w:hAnsi="Times New Roman" w:cs="Times New Roman"/>
          <w:lang w:val="en-US"/>
        </w:rPr>
        <w:t xml:space="preserve"> percent</w:t>
      </w:r>
      <w:r w:rsidRPr="00E93B88">
        <w:rPr>
          <w:rFonts w:ascii="Times New Roman" w:hAnsi="Times New Roman" w:cs="Times New Roman"/>
          <w:lang w:val="en-US"/>
        </w:rPr>
        <w:t xml:space="preserve"> in 1960</w:t>
      </w:r>
      <w:r w:rsidR="00296461">
        <w:rPr>
          <w:rFonts w:ascii="Times New Roman" w:hAnsi="Times New Roman" w:cs="Times New Roman"/>
          <w:lang w:val="en-US"/>
        </w:rPr>
        <w:t>.</w:t>
      </w:r>
      <w:r w:rsidR="00516577">
        <w:rPr>
          <w:rFonts w:ascii="Times New Roman" w:hAnsi="Times New Roman" w:cs="Times New Roman"/>
          <w:lang w:val="en-US"/>
        </w:rPr>
        <w:t xml:space="preserve"> </w:t>
      </w:r>
      <w:r w:rsidR="004F1600">
        <w:rPr>
          <w:rFonts w:ascii="Times New Roman" w:hAnsi="Times New Roman" w:cs="Times New Roman"/>
          <w:lang w:val="en-US"/>
        </w:rPr>
        <w:t>As shown in Figure 2A</w:t>
      </w:r>
      <w:r w:rsidR="00692D93" w:rsidRPr="00E93B88">
        <w:rPr>
          <w:rFonts w:ascii="Times New Roman" w:hAnsi="Times New Roman" w:cs="Times New Roman"/>
          <w:lang w:val="en-US"/>
        </w:rPr>
        <w:t>, the majority of the pre-tax income not visible on individual tax returns is capital income (corporate retained earnings, corporate income taxes, tax-exempt interest, imputed rents, prop</w:t>
      </w:r>
      <w:r w:rsidR="00514E64">
        <w:rPr>
          <w:rFonts w:ascii="Times New Roman" w:hAnsi="Times New Roman" w:cs="Times New Roman"/>
          <w:lang w:val="en-US"/>
        </w:rPr>
        <w:t xml:space="preserve">erty taxes, investment income </w:t>
      </w:r>
      <w:proofErr w:type="gramStart"/>
      <w:r w:rsidR="00514E64">
        <w:rPr>
          <w:rFonts w:ascii="Times New Roman" w:hAnsi="Times New Roman" w:cs="Times New Roman"/>
          <w:lang w:val="en-US"/>
        </w:rPr>
        <w:t>earned</w:t>
      </w:r>
      <w:proofErr w:type="gramEnd"/>
      <w:r w:rsidR="00692D93" w:rsidRPr="00E93B88">
        <w:rPr>
          <w:rFonts w:ascii="Times New Roman" w:hAnsi="Times New Roman" w:cs="Times New Roman"/>
          <w:lang w:val="en-US"/>
        </w:rPr>
        <w:t xml:space="preserve"> </w:t>
      </w:r>
      <w:r w:rsidR="00514E64">
        <w:rPr>
          <w:rFonts w:ascii="Times New Roman" w:hAnsi="Times New Roman" w:cs="Times New Roman"/>
          <w:lang w:val="en-US"/>
        </w:rPr>
        <w:t xml:space="preserve">by </w:t>
      </w:r>
      <w:r w:rsidR="00692D93" w:rsidRPr="00E93B88">
        <w:rPr>
          <w:rFonts w:ascii="Times New Roman" w:hAnsi="Times New Roman" w:cs="Times New Roman"/>
          <w:lang w:val="en-US"/>
        </w:rPr>
        <w:t xml:space="preserve">pension </w:t>
      </w:r>
      <w:r w:rsidR="00514E64">
        <w:rPr>
          <w:rFonts w:ascii="Times New Roman" w:hAnsi="Times New Roman" w:cs="Times New Roman"/>
          <w:lang w:val="en-US"/>
        </w:rPr>
        <w:t>funds</w:t>
      </w:r>
      <w:r w:rsidR="00692D93" w:rsidRPr="00E93B88">
        <w:rPr>
          <w:rFonts w:ascii="Times New Roman" w:hAnsi="Times New Roman" w:cs="Times New Roman"/>
          <w:lang w:val="en-US"/>
        </w:rPr>
        <w:t xml:space="preserve">, income paid to trusts, fiduciaries, etc.). As </w:t>
      </w:r>
      <w:r w:rsidR="006A439B">
        <w:rPr>
          <w:rFonts w:ascii="Times New Roman" w:hAnsi="Times New Roman" w:cs="Times New Roman"/>
          <w:lang w:val="en-US"/>
        </w:rPr>
        <w:t>shown in</w:t>
      </w:r>
      <w:r w:rsidR="00692D93" w:rsidRPr="00E93B88">
        <w:rPr>
          <w:rFonts w:ascii="Times New Roman" w:hAnsi="Times New Roman" w:cs="Times New Roman"/>
          <w:lang w:val="en-US"/>
        </w:rPr>
        <w:t xml:space="preserve"> Figure 2</w:t>
      </w:r>
      <w:r w:rsidR="004F1600">
        <w:rPr>
          <w:rFonts w:ascii="Times New Roman" w:hAnsi="Times New Roman" w:cs="Times New Roman"/>
          <w:lang w:val="en-US"/>
        </w:rPr>
        <w:t>B</w:t>
      </w:r>
      <w:r w:rsidR="00692D93" w:rsidRPr="00E93B88">
        <w:rPr>
          <w:rFonts w:ascii="Times New Roman" w:hAnsi="Times New Roman" w:cs="Times New Roman"/>
          <w:lang w:val="en-US"/>
        </w:rPr>
        <w:t>, untaxed capital income accounts for the vast majority of total capital inco</w:t>
      </w:r>
      <w:r w:rsidR="00F82EE7">
        <w:rPr>
          <w:rFonts w:ascii="Times New Roman" w:hAnsi="Times New Roman" w:cs="Times New Roman"/>
          <w:lang w:val="en-US"/>
        </w:rPr>
        <w:t xml:space="preserve">me in the economy. </w:t>
      </w:r>
      <w:r w:rsidR="00835C63">
        <w:rPr>
          <w:rFonts w:ascii="Times New Roman" w:hAnsi="Times New Roman" w:cs="Times New Roman"/>
          <w:lang w:val="en-US"/>
        </w:rPr>
        <w:t xml:space="preserve">As </w:t>
      </w:r>
      <w:r w:rsidR="00100FEB">
        <w:rPr>
          <w:rFonts w:ascii="Times New Roman" w:hAnsi="Times New Roman" w:cs="Times New Roman"/>
          <w:lang w:val="en-US"/>
        </w:rPr>
        <w:t>pension funds grow overtime and are more equally distributed than other forms of wealth</w:t>
      </w:r>
      <w:r w:rsidR="00835C63">
        <w:rPr>
          <w:rFonts w:ascii="Times New Roman" w:hAnsi="Times New Roman" w:cs="Times New Roman"/>
          <w:lang w:val="en-US"/>
        </w:rPr>
        <w:t xml:space="preserve">, it is useful to split </w:t>
      </w:r>
      <w:r w:rsidR="00CB7C8D">
        <w:rPr>
          <w:rFonts w:ascii="Times New Roman" w:hAnsi="Times New Roman" w:cs="Times New Roman"/>
          <w:lang w:val="en-US"/>
        </w:rPr>
        <w:t>untaxed capital income into the untaxed capital income earned by pension funds and other untaxed capital income.</w:t>
      </w:r>
    </w:p>
    <w:p w14:paraId="4AF234F4" w14:textId="466FDF00" w:rsidR="00692D93" w:rsidRPr="00E93B88" w:rsidRDefault="00692D93" w:rsidP="00831CEB">
      <w:pPr>
        <w:spacing w:after="120" w:line="360" w:lineRule="auto"/>
        <w:ind w:firstLine="708"/>
        <w:jc w:val="both"/>
        <w:rPr>
          <w:rFonts w:ascii="Times New Roman" w:hAnsi="Times New Roman" w:cs="Times New Roman"/>
          <w:lang w:val="en-US"/>
        </w:rPr>
      </w:pPr>
      <w:r w:rsidRPr="00E93B88">
        <w:rPr>
          <w:rFonts w:ascii="Times New Roman" w:hAnsi="Times New Roman" w:cs="Times New Roman"/>
          <w:lang w:val="en-US"/>
        </w:rPr>
        <w:t>PSZ offers a sophisticated treatment of untaxed income that involves a detailed reconciliation with national accounts totals component by component. However it is possible to reproduce the PSZ results quickly and to understand what their methodology amounts t</w:t>
      </w:r>
      <w:r w:rsidR="00393F7B">
        <w:rPr>
          <w:rFonts w:ascii="Times New Roman" w:hAnsi="Times New Roman" w:cs="Times New Roman"/>
          <w:lang w:val="en-US"/>
        </w:rPr>
        <w:t>o doing in a simple way. The 36</w:t>
      </w:r>
      <w:r w:rsidR="009E2E85">
        <w:rPr>
          <w:rFonts w:ascii="Times New Roman" w:hAnsi="Times New Roman" w:cs="Times New Roman"/>
          <w:lang w:val="en-US"/>
        </w:rPr>
        <w:t xml:space="preserve"> percent</w:t>
      </w:r>
      <w:r w:rsidRPr="00E93B88">
        <w:rPr>
          <w:rFonts w:ascii="Times New Roman" w:hAnsi="Times New Roman" w:cs="Times New Roman"/>
          <w:lang w:val="en-US"/>
        </w:rPr>
        <w:t xml:space="preserve"> of pre-tax (factor-price) national income not reported in tax data in 2016 can be decomposed as follows:</w:t>
      </w:r>
    </w:p>
    <w:p w14:paraId="497412CA" w14:textId="204CF5D6" w:rsidR="00692D93" w:rsidRPr="00E93B88" w:rsidRDefault="00FA2C6F" w:rsidP="00692D93">
      <w:pPr>
        <w:spacing w:after="120" w:line="360" w:lineRule="auto"/>
        <w:jc w:val="both"/>
        <w:rPr>
          <w:rFonts w:ascii="Times New Roman" w:hAnsi="Times New Roman" w:cs="Times New Roman"/>
          <w:lang w:val="en-US"/>
        </w:rPr>
      </w:pPr>
      <w:r>
        <w:rPr>
          <w:rFonts w:ascii="Times New Roman" w:hAnsi="Times New Roman" w:cs="Times New Roman"/>
          <w:lang w:val="en-US"/>
        </w:rPr>
        <w:t xml:space="preserve">- </w:t>
      </w:r>
      <w:r w:rsidR="00A1712A">
        <w:rPr>
          <w:rFonts w:ascii="Times New Roman" w:hAnsi="Times New Roman" w:cs="Times New Roman"/>
          <w:lang w:val="en-US"/>
        </w:rPr>
        <w:t>12.7</w:t>
      </w:r>
      <w:r w:rsidR="009E2E85">
        <w:rPr>
          <w:rFonts w:ascii="Times New Roman" w:hAnsi="Times New Roman" w:cs="Times New Roman"/>
          <w:lang w:val="en-US"/>
        </w:rPr>
        <w:t xml:space="preserve"> percent</w:t>
      </w:r>
      <w:r w:rsidR="00692D93" w:rsidRPr="00E93B88">
        <w:rPr>
          <w:rFonts w:ascii="Times New Roman" w:hAnsi="Times New Roman" w:cs="Times New Roman"/>
          <w:lang w:val="en-US"/>
        </w:rPr>
        <w:t xml:space="preserve"> is untaxed labor and pension income (employer contributions to health insurance, Social Security benefits, untaxed private pension benefits such as Roth IRAs and after-tax Defined Contribution plans, under-reported labor income most of which is from non-corporate business profits),  </w:t>
      </w:r>
    </w:p>
    <w:p w14:paraId="0501BA62" w14:textId="1A81E5E3" w:rsidR="00692D93" w:rsidRPr="00E93B88" w:rsidRDefault="003421C5" w:rsidP="00692D93">
      <w:pPr>
        <w:spacing w:after="120" w:line="360" w:lineRule="auto"/>
        <w:jc w:val="both"/>
        <w:rPr>
          <w:rFonts w:ascii="Times New Roman" w:hAnsi="Times New Roman" w:cs="Times New Roman"/>
          <w:lang w:val="en-US"/>
        </w:rPr>
      </w:pPr>
      <w:r>
        <w:rPr>
          <w:rFonts w:ascii="Times New Roman" w:hAnsi="Times New Roman" w:cs="Times New Roman"/>
          <w:lang w:val="en-US"/>
        </w:rPr>
        <w:t xml:space="preserve">- </w:t>
      </w:r>
      <w:r w:rsidR="00A1712A">
        <w:rPr>
          <w:rFonts w:ascii="Times New Roman" w:hAnsi="Times New Roman" w:cs="Times New Roman"/>
          <w:lang w:val="en-US"/>
        </w:rPr>
        <w:t>10.6</w:t>
      </w:r>
      <w:r w:rsidR="009E2E85">
        <w:rPr>
          <w:rFonts w:ascii="Times New Roman" w:hAnsi="Times New Roman" w:cs="Times New Roman"/>
          <w:lang w:val="en-US"/>
        </w:rPr>
        <w:t xml:space="preserve"> percent</w:t>
      </w:r>
      <w:r w:rsidR="00692D93" w:rsidRPr="00E93B88">
        <w:rPr>
          <w:rFonts w:ascii="Times New Roman" w:hAnsi="Times New Roman" w:cs="Times New Roman"/>
          <w:lang w:val="en-US"/>
        </w:rPr>
        <w:t xml:space="preserve"> is untaxed capital income earned on pension plans (including the fraction of the corporate income tax, business property tax, and retained earnings attributable to pension plans),</w:t>
      </w:r>
    </w:p>
    <w:p w14:paraId="2E5803C4" w14:textId="7B24D9EF" w:rsidR="00692D93" w:rsidRPr="00E93B88" w:rsidRDefault="003421C5" w:rsidP="00692D93">
      <w:pPr>
        <w:spacing w:after="120" w:line="360" w:lineRule="auto"/>
        <w:jc w:val="both"/>
        <w:rPr>
          <w:rFonts w:ascii="Times New Roman" w:hAnsi="Times New Roman" w:cs="Times New Roman"/>
          <w:lang w:val="en-US"/>
        </w:rPr>
      </w:pPr>
      <w:r>
        <w:rPr>
          <w:rFonts w:ascii="Times New Roman" w:hAnsi="Times New Roman" w:cs="Times New Roman"/>
          <w:lang w:val="en-US"/>
        </w:rPr>
        <w:t xml:space="preserve">- </w:t>
      </w:r>
      <w:r w:rsidR="00A1712A">
        <w:rPr>
          <w:rFonts w:ascii="Times New Roman" w:hAnsi="Times New Roman" w:cs="Times New Roman"/>
          <w:lang w:val="en-US"/>
        </w:rPr>
        <w:t>13.0</w:t>
      </w:r>
      <w:r w:rsidR="009E2E85">
        <w:rPr>
          <w:rFonts w:ascii="Times New Roman" w:hAnsi="Times New Roman" w:cs="Times New Roman"/>
          <w:lang w:val="en-US"/>
        </w:rPr>
        <w:t xml:space="preserve"> percent</w:t>
      </w:r>
      <w:r w:rsidR="00692D93" w:rsidRPr="00E93B88">
        <w:rPr>
          <w:rFonts w:ascii="Times New Roman" w:hAnsi="Times New Roman" w:cs="Times New Roman"/>
          <w:lang w:val="en-US"/>
        </w:rPr>
        <w:t xml:space="preserve"> is untaxed capital income other than earned on pension plans.</w:t>
      </w:r>
    </w:p>
    <w:p w14:paraId="6B460CBB" w14:textId="66B3E591" w:rsidR="00692D93" w:rsidRPr="00E93B88" w:rsidRDefault="00A1712A" w:rsidP="00692D93">
      <w:pPr>
        <w:spacing w:after="120" w:line="360" w:lineRule="auto"/>
        <w:jc w:val="both"/>
        <w:rPr>
          <w:rFonts w:ascii="Times New Roman" w:hAnsi="Times New Roman" w:cs="Times New Roman"/>
          <w:lang w:val="en-US"/>
        </w:rPr>
      </w:pPr>
      <w:r w:rsidRPr="00E93B88">
        <w:rPr>
          <w:rFonts w:ascii="Times New Roman" w:hAnsi="Times New Roman" w:cs="Times New Roman"/>
          <w:lang w:val="en-US"/>
        </w:rPr>
        <w:t xml:space="preserve"> </w:t>
      </w:r>
      <w:r>
        <w:rPr>
          <w:rFonts w:ascii="Times New Roman" w:hAnsi="Times New Roman" w:cs="Times New Roman"/>
          <w:lang w:val="en-US"/>
        </w:rPr>
        <w:t>We use</w:t>
      </w:r>
      <w:r w:rsidR="002E1286">
        <w:rPr>
          <w:rFonts w:ascii="Times New Roman" w:hAnsi="Times New Roman" w:cs="Times New Roman"/>
          <w:lang w:val="en-US"/>
        </w:rPr>
        <w:t xml:space="preserve"> the following two</w:t>
      </w:r>
      <w:r w:rsidR="00692D93" w:rsidRPr="00E93B88">
        <w:rPr>
          <w:rFonts w:ascii="Times New Roman" w:hAnsi="Times New Roman" w:cs="Times New Roman"/>
          <w:lang w:val="en-US"/>
        </w:rPr>
        <w:t xml:space="preserve"> assumptions</w:t>
      </w:r>
      <w:r w:rsidR="007E6AB4">
        <w:rPr>
          <w:rFonts w:ascii="Times New Roman" w:hAnsi="Times New Roman" w:cs="Times New Roman"/>
          <w:lang w:val="en-US"/>
        </w:rPr>
        <w:t xml:space="preserve"> in our simplified methodology</w:t>
      </w:r>
      <w:r w:rsidR="00692D93" w:rsidRPr="00E93B88">
        <w:rPr>
          <w:rFonts w:ascii="Times New Roman" w:hAnsi="Times New Roman" w:cs="Times New Roman"/>
          <w:lang w:val="en-US"/>
        </w:rPr>
        <w:t xml:space="preserve">: </w:t>
      </w:r>
    </w:p>
    <w:p w14:paraId="745F8E65" w14:textId="3CEB0156" w:rsidR="00692D93" w:rsidRPr="00E93B88" w:rsidRDefault="00A1712A" w:rsidP="00692D93">
      <w:pPr>
        <w:spacing w:after="120" w:line="360" w:lineRule="auto"/>
        <w:jc w:val="both"/>
        <w:rPr>
          <w:rFonts w:ascii="Times New Roman" w:hAnsi="Times New Roman" w:cs="Times New Roman"/>
          <w:lang w:val="en-US"/>
        </w:rPr>
      </w:pPr>
      <w:r>
        <w:rPr>
          <w:rFonts w:ascii="Times New Roman" w:hAnsi="Times New Roman" w:cs="Times New Roman"/>
          <w:lang w:val="en-US"/>
        </w:rPr>
        <w:t xml:space="preserve">1) </w:t>
      </w:r>
      <w:r w:rsidR="00692D93" w:rsidRPr="00E93B88">
        <w:rPr>
          <w:rFonts w:ascii="Times New Roman" w:hAnsi="Times New Roman" w:cs="Times New Roman"/>
          <w:lang w:val="en-US"/>
        </w:rPr>
        <w:t>Untaxed labor and pension income</w:t>
      </w:r>
      <w:r w:rsidR="00B552A1">
        <w:rPr>
          <w:rFonts w:ascii="Times New Roman" w:hAnsi="Times New Roman" w:cs="Times New Roman"/>
          <w:lang w:val="en-US"/>
        </w:rPr>
        <w:t xml:space="preserve"> and u</w:t>
      </w:r>
      <w:r w:rsidR="00B552A1" w:rsidRPr="00E93B88">
        <w:rPr>
          <w:rFonts w:ascii="Times New Roman" w:hAnsi="Times New Roman" w:cs="Times New Roman"/>
          <w:lang w:val="en-US"/>
        </w:rPr>
        <w:t xml:space="preserve">ntaxed capital income earned on pension plans </w:t>
      </w:r>
      <w:r w:rsidR="00692D93" w:rsidRPr="00E93B88">
        <w:rPr>
          <w:rFonts w:ascii="Times New Roman" w:hAnsi="Times New Roman" w:cs="Times New Roman"/>
          <w:lang w:val="en-US"/>
        </w:rPr>
        <w:t>is distributed like t</w:t>
      </w:r>
      <w:r w:rsidR="00B552A1">
        <w:rPr>
          <w:rFonts w:ascii="Times New Roman" w:hAnsi="Times New Roman" w:cs="Times New Roman"/>
          <w:lang w:val="en-US"/>
        </w:rPr>
        <w:t>axable labor and pension income</w:t>
      </w:r>
      <w:r w:rsidR="00D06D83">
        <w:rPr>
          <w:rFonts w:ascii="Times New Roman" w:hAnsi="Times New Roman" w:cs="Times New Roman"/>
          <w:lang w:val="en-US"/>
        </w:rPr>
        <w:t>,</w:t>
      </w:r>
    </w:p>
    <w:p w14:paraId="7A67A7F1" w14:textId="180CB8BC" w:rsidR="00692D93" w:rsidRPr="00E93B88" w:rsidRDefault="00942EA9" w:rsidP="00692D93">
      <w:pPr>
        <w:spacing w:after="120" w:line="360" w:lineRule="auto"/>
        <w:jc w:val="both"/>
        <w:rPr>
          <w:rFonts w:ascii="Times New Roman" w:hAnsi="Times New Roman" w:cs="Times New Roman"/>
          <w:lang w:val="en-US"/>
        </w:rPr>
      </w:pPr>
      <w:r>
        <w:rPr>
          <w:rFonts w:ascii="Times New Roman" w:hAnsi="Times New Roman" w:cs="Times New Roman"/>
          <w:lang w:val="en-US"/>
        </w:rPr>
        <w:lastRenderedPageBreak/>
        <w:t>2</w:t>
      </w:r>
      <w:r w:rsidR="00E42A2E">
        <w:rPr>
          <w:rFonts w:ascii="Times New Roman" w:hAnsi="Times New Roman" w:cs="Times New Roman"/>
          <w:lang w:val="en-US"/>
        </w:rPr>
        <w:t xml:space="preserve">) </w:t>
      </w:r>
      <w:r w:rsidR="00692D93" w:rsidRPr="00E93B88">
        <w:rPr>
          <w:rFonts w:ascii="Times New Roman" w:hAnsi="Times New Roman" w:cs="Times New Roman"/>
          <w:lang w:val="en-US"/>
        </w:rPr>
        <w:t>Other untaxed capital income is distributed like taxable capital income,</w:t>
      </w:r>
    </w:p>
    <w:p w14:paraId="726D341D" w14:textId="7C5626A0" w:rsidR="00A620B2" w:rsidRDefault="00FF55BE" w:rsidP="00692D93">
      <w:pPr>
        <w:spacing w:after="120" w:line="360" w:lineRule="auto"/>
        <w:jc w:val="both"/>
        <w:rPr>
          <w:rFonts w:ascii="Times New Roman" w:hAnsi="Times New Roman" w:cs="Times New Roman"/>
          <w:lang w:val="en-US"/>
        </w:rPr>
      </w:pPr>
      <w:r>
        <w:rPr>
          <w:rFonts w:ascii="Times New Roman" w:hAnsi="Times New Roman" w:cs="Times New Roman"/>
          <w:lang w:val="en-US"/>
        </w:rPr>
        <w:t>With these two</w:t>
      </w:r>
      <w:r w:rsidR="008D3B33">
        <w:rPr>
          <w:rFonts w:ascii="Times New Roman" w:hAnsi="Times New Roman" w:cs="Times New Roman"/>
          <w:lang w:val="en-US"/>
        </w:rPr>
        <w:t xml:space="preserve"> assumptions and using </w:t>
      </w:r>
      <w:r w:rsidR="00842B59">
        <w:rPr>
          <w:rFonts w:ascii="Times New Roman" w:hAnsi="Times New Roman" w:cs="Times New Roman"/>
          <w:lang w:val="en-US"/>
        </w:rPr>
        <w:t>the composition of top</w:t>
      </w:r>
      <w:r w:rsidR="00697FE3">
        <w:rPr>
          <w:rFonts w:ascii="Times New Roman" w:hAnsi="Times New Roman" w:cs="Times New Roman"/>
          <w:lang w:val="en-US"/>
        </w:rPr>
        <w:t xml:space="preserve"> fiscal</w:t>
      </w:r>
      <w:r w:rsidR="00842B59">
        <w:rPr>
          <w:rFonts w:ascii="Times New Roman" w:hAnsi="Times New Roman" w:cs="Times New Roman"/>
          <w:lang w:val="en-US"/>
        </w:rPr>
        <w:t xml:space="preserve"> incomes (</w:t>
      </w:r>
      <w:r w:rsidR="00D31D34">
        <w:rPr>
          <w:rFonts w:ascii="Times New Roman" w:hAnsi="Times New Roman" w:cs="Times New Roman"/>
          <w:lang w:val="en-US"/>
        </w:rPr>
        <w:t xml:space="preserve">broken down in (a) </w:t>
      </w:r>
      <w:r w:rsidR="00842B59">
        <w:rPr>
          <w:rFonts w:ascii="Times New Roman" w:hAnsi="Times New Roman" w:cs="Times New Roman"/>
          <w:lang w:val="en-US"/>
        </w:rPr>
        <w:t>labor and pension income, and</w:t>
      </w:r>
      <w:r w:rsidR="00D31D34">
        <w:rPr>
          <w:rFonts w:ascii="Times New Roman" w:hAnsi="Times New Roman" w:cs="Times New Roman"/>
          <w:lang w:val="en-US"/>
        </w:rPr>
        <w:t xml:space="preserve"> (b)</w:t>
      </w:r>
      <w:r w:rsidR="00842B59">
        <w:rPr>
          <w:rFonts w:ascii="Times New Roman" w:hAnsi="Times New Roman" w:cs="Times New Roman"/>
          <w:lang w:val="en-US"/>
        </w:rPr>
        <w:t xml:space="preserve"> capital income) provided by </w:t>
      </w:r>
      <w:proofErr w:type="spellStart"/>
      <w:r w:rsidR="00064166">
        <w:rPr>
          <w:rFonts w:ascii="Times New Roman" w:hAnsi="Times New Roman" w:cs="Times New Roman"/>
          <w:lang w:val="en-US"/>
        </w:rPr>
        <w:t>Piketty</w:t>
      </w:r>
      <w:proofErr w:type="spellEnd"/>
      <w:r w:rsidR="00064166">
        <w:rPr>
          <w:rFonts w:ascii="Times New Roman" w:hAnsi="Times New Roman" w:cs="Times New Roman"/>
          <w:lang w:val="en-US"/>
        </w:rPr>
        <w:t xml:space="preserve"> and Saez (2003) compositional series</w:t>
      </w:r>
      <w:r w:rsidR="00842B59">
        <w:rPr>
          <w:rFonts w:ascii="Times New Roman" w:hAnsi="Times New Roman" w:cs="Times New Roman"/>
          <w:lang w:val="en-US"/>
        </w:rPr>
        <w:t xml:space="preserve">, we can compute </w:t>
      </w:r>
      <w:r w:rsidR="0087431D">
        <w:rPr>
          <w:rFonts w:ascii="Times New Roman" w:hAnsi="Times New Roman" w:cs="Times New Roman"/>
          <w:lang w:val="en-US"/>
        </w:rPr>
        <w:t xml:space="preserve">pre-tax national income top income shares </w:t>
      </w:r>
      <w:r w:rsidR="009678F6">
        <w:rPr>
          <w:rFonts w:ascii="Times New Roman" w:hAnsi="Times New Roman" w:cs="Times New Roman"/>
          <w:lang w:val="en-US"/>
        </w:rPr>
        <w:t>as follows (see attached excel file</w:t>
      </w:r>
      <w:r w:rsidR="00BE6394">
        <w:rPr>
          <w:rFonts w:ascii="Times New Roman" w:hAnsi="Times New Roman" w:cs="Times New Roman"/>
          <w:lang w:val="en-US"/>
        </w:rPr>
        <w:t xml:space="preserve"> for complete computations</w:t>
      </w:r>
      <w:r w:rsidR="009678F6">
        <w:rPr>
          <w:rFonts w:ascii="Times New Roman" w:hAnsi="Times New Roman" w:cs="Times New Roman"/>
          <w:lang w:val="en-US"/>
        </w:rPr>
        <w:t xml:space="preserve">). </w:t>
      </w:r>
    </w:p>
    <w:p w14:paraId="091C50DD" w14:textId="2D3D6B3B" w:rsidR="00367757" w:rsidRDefault="004D372E" w:rsidP="00CF22D8">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 xml:space="preserve">The share of </w:t>
      </w:r>
      <w:r w:rsidR="0018255A">
        <w:rPr>
          <w:rFonts w:ascii="Times New Roman" w:hAnsi="Times New Roman" w:cs="Times New Roman"/>
          <w:lang w:val="en-US"/>
        </w:rPr>
        <w:t xml:space="preserve">untaxed </w:t>
      </w:r>
      <w:r>
        <w:rPr>
          <w:rFonts w:ascii="Times New Roman" w:hAnsi="Times New Roman" w:cs="Times New Roman"/>
          <w:lang w:val="en-US"/>
        </w:rPr>
        <w:t>labor and pension income</w:t>
      </w:r>
      <w:r w:rsidR="00AF3487">
        <w:rPr>
          <w:rFonts w:ascii="Times New Roman" w:hAnsi="Times New Roman" w:cs="Times New Roman"/>
          <w:lang w:val="en-US"/>
        </w:rPr>
        <w:t xml:space="preserve"> and untaxed capital income earned on </w:t>
      </w:r>
      <w:proofErr w:type="gramStart"/>
      <w:r w:rsidR="00AF3487">
        <w:rPr>
          <w:rFonts w:ascii="Times New Roman" w:hAnsi="Times New Roman" w:cs="Times New Roman"/>
          <w:lang w:val="en-US"/>
        </w:rPr>
        <w:t>pension  plans</w:t>
      </w:r>
      <w:proofErr w:type="gramEnd"/>
      <w:r>
        <w:rPr>
          <w:rFonts w:ascii="Times New Roman" w:hAnsi="Times New Roman" w:cs="Times New Roman"/>
          <w:lang w:val="en-US"/>
        </w:rPr>
        <w:t xml:space="preserve"> accruing to top 1</w:t>
      </w:r>
      <w:r w:rsidR="009E2E85">
        <w:rPr>
          <w:rFonts w:ascii="Times New Roman" w:hAnsi="Times New Roman" w:cs="Times New Roman"/>
          <w:lang w:val="en-US"/>
        </w:rPr>
        <w:t xml:space="preserve"> percent</w:t>
      </w:r>
      <w:r>
        <w:rPr>
          <w:rFonts w:ascii="Times New Roman" w:hAnsi="Times New Roman" w:cs="Times New Roman"/>
          <w:lang w:val="en-US"/>
        </w:rPr>
        <w:t xml:space="preserve"> earners </w:t>
      </w:r>
      <w:r w:rsidR="009048FD">
        <w:rPr>
          <w:rFonts w:ascii="Times New Roman" w:hAnsi="Times New Roman" w:cs="Times New Roman"/>
          <w:lang w:val="en-US"/>
        </w:rPr>
        <w:t>is assumed to be the same as the share of labor and pension income in fiscal income accruing to top 1</w:t>
      </w:r>
      <w:r w:rsidR="009E2E85">
        <w:rPr>
          <w:rFonts w:ascii="Times New Roman" w:hAnsi="Times New Roman" w:cs="Times New Roman"/>
          <w:lang w:val="en-US"/>
        </w:rPr>
        <w:t xml:space="preserve"> percent</w:t>
      </w:r>
      <w:r w:rsidR="009048FD">
        <w:rPr>
          <w:rFonts w:ascii="Times New Roman" w:hAnsi="Times New Roman" w:cs="Times New Roman"/>
          <w:lang w:val="en-US"/>
        </w:rPr>
        <w:t xml:space="preserve"> earners.</w:t>
      </w:r>
      <w:r w:rsidR="0067286A">
        <w:rPr>
          <w:rFonts w:ascii="Times New Roman" w:hAnsi="Times New Roman" w:cs="Times New Roman"/>
          <w:lang w:val="en-US"/>
        </w:rPr>
        <w:t xml:space="preserve"> It grows from 6</w:t>
      </w:r>
      <w:r w:rsidR="009E2E85">
        <w:rPr>
          <w:rFonts w:ascii="Times New Roman" w:hAnsi="Times New Roman" w:cs="Times New Roman"/>
          <w:lang w:val="en-US"/>
        </w:rPr>
        <w:t xml:space="preserve"> percent</w:t>
      </w:r>
      <w:r w:rsidR="0067286A">
        <w:rPr>
          <w:rFonts w:ascii="Times New Roman" w:hAnsi="Times New Roman" w:cs="Times New Roman"/>
          <w:lang w:val="en-US"/>
        </w:rPr>
        <w:t xml:space="preserve"> in 1960 (when labor income had low concentration) to 15</w:t>
      </w:r>
      <w:r w:rsidR="009E2E85">
        <w:rPr>
          <w:rFonts w:ascii="Times New Roman" w:hAnsi="Times New Roman" w:cs="Times New Roman"/>
          <w:lang w:val="en-US"/>
        </w:rPr>
        <w:t xml:space="preserve"> percent</w:t>
      </w:r>
      <w:r w:rsidR="0067286A">
        <w:rPr>
          <w:rFonts w:ascii="Times New Roman" w:hAnsi="Times New Roman" w:cs="Times New Roman"/>
          <w:lang w:val="en-US"/>
        </w:rPr>
        <w:t xml:space="preserve"> in 2016 (when labor income is much more concentrated). </w:t>
      </w:r>
      <w:r w:rsidR="0097146B">
        <w:rPr>
          <w:rFonts w:ascii="Times New Roman" w:hAnsi="Times New Roman" w:cs="Times New Roman"/>
          <w:lang w:val="en-US"/>
        </w:rPr>
        <w:t xml:space="preserve">The share of other untaxed </w:t>
      </w:r>
      <w:r w:rsidR="0097146B" w:rsidRPr="00E93B88">
        <w:rPr>
          <w:rFonts w:ascii="Times New Roman" w:hAnsi="Times New Roman" w:cs="Times New Roman"/>
          <w:lang w:val="en-US"/>
        </w:rPr>
        <w:t xml:space="preserve">capital income </w:t>
      </w:r>
      <w:r w:rsidR="0097146B">
        <w:rPr>
          <w:rFonts w:ascii="Times New Roman" w:hAnsi="Times New Roman" w:cs="Times New Roman"/>
          <w:lang w:val="en-US"/>
        </w:rPr>
        <w:t>in national income accruing to top 1</w:t>
      </w:r>
      <w:r w:rsidR="009E2E85">
        <w:rPr>
          <w:rFonts w:ascii="Times New Roman" w:hAnsi="Times New Roman" w:cs="Times New Roman"/>
          <w:lang w:val="en-US"/>
        </w:rPr>
        <w:t xml:space="preserve"> percent</w:t>
      </w:r>
      <w:r w:rsidR="0097146B">
        <w:rPr>
          <w:rFonts w:ascii="Times New Roman" w:hAnsi="Times New Roman" w:cs="Times New Roman"/>
          <w:lang w:val="en-US"/>
        </w:rPr>
        <w:t xml:space="preserve"> earners is assumed to be the same as the share of </w:t>
      </w:r>
      <w:r w:rsidR="00284D2F">
        <w:rPr>
          <w:rFonts w:ascii="Times New Roman" w:hAnsi="Times New Roman" w:cs="Times New Roman"/>
          <w:lang w:val="en-US"/>
        </w:rPr>
        <w:t xml:space="preserve">taxable capital </w:t>
      </w:r>
      <w:r w:rsidR="0097146B">
        <w:rPr>
          <w:rFonts w:ascii="Times New Roman" w:hAnsi="Times New Roman" w:cs="Times New Roman"/>
          <w:lang w:val="en-US"/>
        </w:rPr>
        <w:t>income in fiscal income accruing to top 1</w:t>
      </w:r>
      <w:r w:rsidR="009E2E85">
        <w:rPr>
          <w:rFonts w:ascii="Times New Roman" w:hAnsi="Times New Roman" w:cs="Times New Roman"/>
          <w:lang w:val="en-US"/>
        </w:rPr>
        <w:t xml:space="preserve"> percent</w:t>
      </w:r>
      <w:r w:rsidR="0097146B">
        <w:rPr>
          <w:rFonts w:ascii="Times New Roman" w:hAnsi="Times New Roman" w:cs="Times New Roman"/>
          <w:lang w:val="en-US"/>
        </w:rPr>
        <w:t xml:space="preserve"> earners. </w:t>
      </w:r>
      <w:r w:rsidR="0055615D">
        <w:rPr>
          <w:rFonts w:ascii="Times New Roman" w:hAnsi="Times New Roman" w:cs="Times New Roman"/>
          <w:lang w:val="en-US"/>
        </w:rPr>
        <w:t>Such</w:t>
      </w:r>
      <w:r w:rsidR="00172645">
        <w:rPr>
          <w:rFonts w:ascii="Times New Roman" w:hAnsi="Times New Roman" w:cs="Times New Roman"/>
          <w:lang w:val="en-US"/>
        </w:rPr>
        <w:t xml:space="preserve"> taxable capital</w:t>
      </w:r>
      <w:r w:rsidR="0055615D">
        <w:rPr>
          <w:rFonts w:ascii="Times New Roman" w:hAnsi="Times New Roman" w:cs="Times New Roman"/>
          <w:lang w:val="en-US"/>
        </w:rPr>
        <w:t xml:space="preserve"> income has always been highly co</w:t>
      </w:r>
      <w:r w:rsidR="000373E1">
        <w:rPr>
          <w:rFonts w:ascii="Times New Roman" w:hAnsi="Times New Roman" w:cs="Times New Roman"/>
          <w:lang w:val="en-US"/>
        </w:rPr>
        <w:t xml:space="preserve">ncentrated </w:t>
      </w:r>
      <w:r w:rsidR="00E67175">
        <w:rPr>
          <w:rFonts w:ascii="Times New Roman" w:hAnsi="Times New Roman" w:cs="Times New Roman"/>
          <w:lang w:val="en-US"/>
        </w:rPr>
        <w:t>with the share accruing to the top 1</w:t>
      </w:r>
      <w:r w:rsidR="009E2E85">
        <w:rPr>
          <w:rFonts w:ascii="Times New Roman" w:hAnsi="Times New Roman" w:cs="Times New Roman"/>
          <w:lang w:val="en-US"/>
        </w:rPr>
        <w:t xml:space="preserve"> percent</w:t>
      </w:r>
      <w:r w:rsidR="00E67175">
        <w:rPr>
          <w:rFonts w:ascii="Times New Roman" w:hAnsi="Times New Roman" w:cs="Times New Roman"/>
          <w:lang w:val="en-US"/>
        </w:rPr>
        <w:t xml:space="preserve"> growing </w:t>
      </w:r>
      <w:r w:rsidR="000373E1">
        <w:rPr>
          <w:rFonts w:ascii="Times New Roman" w:hAnsi="Times New Roman" w:cs="Times New Roman"/>
          <w:lang w:val="en-US"/>
        </w:rPr>
        <w:t>from 40</w:t>
      </w:r>
      <w:r w:rsidR="009E2E85">
        <w:rPr>
          <w:rFonts w:ascii="Times New Roman" w:hAnsi="Times New Roman" w:cs="Times New Roman"/>
          <w:lang w:val="en-US"/>
        </w:rPr>
        <w:t xml:space="preserve"> percent</w:t>
      </w:r>
      <w:r w:rsidR="000373E1">
        <w:rPr>
          <w:rFonts w:ascii="Times New Roman" w:hAnsi="Times New Roman" w:cs="Times New Roman"/>
          <w:lang w:val="en-US"/>
        </w:rPr>
        <w:t xml:space="preserve"> in 1960 to 48</w:t>
      </w:r>
      <w:r w:rsidR="009E2E85">
        <w:rPr>
          <w:rFonts w:ascii="Times New Roman" w:hAnsi="Times New Roman" w:cs="Times New Roman"/>
          <w:lang w:val="en-US"/>
        </w:rPr>
        <w:t xml:space="preserve"> percent</w:t>
      </w:r>
      <w:r w:rsidR="000373E1">
        <w:rPr>
          <w:rFonts w:ascii="Times New Roman" w:hAnsi="Times New Roman" w:cs="Times New Roman"/>
          <w:lang w:val="en-US"/>
        </w:rPr>
        <w:t xml:space="preserve"> in 2016.</w:t>
      </w:r>
      <w:r w:rsidR="00450B24">
        <w:rPr>
          <w:rFonts w:ascii="Times New Roman" w:hAnsi="Times New Roman" w:cs="Times New Roman"/>
          <w:lang w:val="en-US"/>
        </w:rPr>
        <w:t xml:space="preserve"> </w:t>
      </w:r>
      <w:r w:rsidR="00002832">
        <w:rPr>
          <w:rFonts w:ascii="Times New Roman" w:hAnsi="Times New Roman" w:cs="Times New Roman"/>
          <w:lang w:val="en-US"/>
        </w:rPr>
        <w:t xml:space="preserve">These </w:t>
      </w:r>
      <w:r w:rsidR="00A70AC6">
        <w:rPr>
          <w:rFonts w:ascii="Times New Roman" w:hAnsi="Times New Roman" w:cs="Times New Roman"/>
          <w:lang w:val="en-US"/>
        </w:rPr>
        <w:t>two</w:t>
      </w:r>
      <w:r w:rsidR="00002832">
        <w:rPr>
          <w:rFonts w:ascii="Times New Roman" w:hAnsi="Times New Roman" w:cs="Times New Roman"/>
          <w:lang w:val="en-US"/>
        </w:rPr>
        <w:t xml:space="preserve"> calculations use the </w:t>
      </w:r>
      <w:r w:rsidR="00D46C3F">
        <w:rPr>
          <w:rFonts w:ascii="Times New Roman" w:hAnsi="Times New Roman" w:cs="Times New Roman"/>
          <w:lang w:val="en-US"/>
        </w:rPr>
        <w:t>two</w:t>
      </w:r>
      <w:r w:rsidR="00270A24">
        <w:rPr>
          <w:rFonts w:ascii="Times New Roman" w:hAnsi="Times New Roman" w:cs="Times New Roman"/>
          <w:lang w:val="en-US"/>
        </w:rPr>
        <w:t xml:space="preserve"> </w:t>
      </w:r>
      <w:r w:rsidR="00002832">
        <w:rPr>
          <w:rFonts w:ascii="Times New Roman" w:hAnsi="Times New Roman" w:cs="Times New Roman"/>
          <w:lang w:val="en-US"/>
        </w:rPr>
        <w:t>assumptions stated above and assume that any</w:t>
      </w:r>
      <w:r w:rsidR="00B179F8">
        <w:rPr>
          <w:rFonts w:ascii="Times New Roman" w:hAnsi="Times New Roman" w:cs="Times New Roman"/>
          <w:lang w:val="en-US"/>
        </w:rPr>
        <w:t xml:space="preserve"> effects due to</w:t>
      </w:r>
      <w:r w:rsidR="00002832">
        <w:rPr>
          <w:rFonts w:ascii="Times New Roman" w:hAnsi="Times New Roman" w:cs="Times New Roman"/>
          <w:lang w:val="en-US"/>
        </w:rPr>
        <w:t xml:space="preserve"> re-ranking </w:t>
      </w:r>
      <w:r w:rsidR="00B179F8">
        <w:rPr>
          <w:rFonts w:ascii="Times New Roman" w:hAnsi="Times New Roman" w:cs="Times New Roman"/>
          <w:lang w:val="en-US"/>
        </w:rPr>
        <w:t>(when moving from fiscal income to national income) are negligible.</w:t>
      </w:r>
    </w:p>
    <w:p w14:paraId="55EA410E" w14:textId="57F8D2D5" w:rsidR="004E5893" w:rsidRDefault="004A6817" w:rsidP="0019696A">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Figure 3 displays the resulting simplified top 1</w:t>
      </w:r>
      <w:r w:rsidR="009E2E85">
        <w:rPr>
          <w:rFonts w:ascii="Times New Roman" w:hAnsi="Times New Roman" w:cs="Times New Roman"/>
          <w:lang w:val="en-US"/>
        </w:rPr>
        <w:t xml:space="preserve"> percent</w:t>
      </w:r>
      <w:r>
        <w:rPr>
          <w:rFonts w:ascii="Times New Roman" w:hAnsi="Times New Roman" w:cs="Times New Roman"/>
          <w:lang w:val="en-US"/>
        </w:rPr>
        <w:t xml:space="preserve"> pre-tax national share. It shows that this simplified top income share tracks very closely the corresponding sophisticated PSZ income share </w:t>
      </w:r>
      <w:r w:rsidR="00692D93" w:rsidRPr="00E93B88">
        <w:rPr>
          <w:rFonts w:ascii="Times New Roman" w:hAnsi="Times New Roman" w:cs="Times New Roman"/>
          <w:lang w:val="en-US"/>
        </w:rPr>
        <w:t>in both levels an</w:t>
      </w:r>
      <w:r w:rsidR="008309D6">
        <w:rPr>
          <w:rFonts w:ascii="Times New Roman" w:hAnsi="Times New Roman" w:cs="Times New Roman"/>
          <w:lang w:val="en-US"/>
        </w:rPr>
        <w:t>d trends. Put another way</w:t>
      </w:r>
      <w:r w:rsidR="00692D93" w:rsidRPr="00E93B88">
        <w:rPr>
          <w:rFonts w:ascii="Times New Roman" w:hAnsi="Times New Roman" w:cs="Times New Roman"/>
          <w:lang w:val="en-US"/>
        </w:rPr>
        <w:t xml:space="preserve">, the PSZ methodology delivers results that are </w:t>
      </w:r>
      <w:r w:rsidR="00BB6610">
        <w:rPr>
          <w:rFonts w:ascii="Times New Roman" w:hAnsi="Times New Roman" w:cs="Times New Roman"/>
          <w:lang w:val="en-US"/>
        </w:rPr>
        <w:t xml:space="preserve">about </w:t>
      </w:r>
      <w:r w:rsidR="00692D93" w:rsidRPr="00E93B88">
        <w:rPr>
          <w:rFonts w:ascii="Times New Roman" w:hAnsi="Times New Roman" w:cs="Times New Roman"/>
          <w:lang w:val="en-US"/>
        </w:rPr>
        <w:t>the same as the results one would obtain by decomposing national inco</w:t>
      </w:r>
      <w:r w:rsidR="009B43E5">
        <w:rPr>
          <w:rFonts w:ascii="Times New Roman" w:hAnsi="Times New Roman" w:cs="Times New Roman"/>
          <w:lang w:val="en-US"/>
        </w:rPr>
        <w:t>me into taxable income and three</w:t>
      </w:r>
      <w:r w:rsidR="00692D93" w:rsidRPr="00E93B88">
        <w:rPr>
          <w:rFonts w:ascii="Times New Roman" w:hAnsi="Times New Roman" w:cs="Times New Roman"/>
          <w:lang w:val="en-US"/>
        </w:rPr>
        <w:t xml:space="preserve"> categories of untaxed income, and making simple assumptions about how these three categories are distributed. </w:t>
      </w:r>
    </w:p>
    <w:p w14:paraId="74DA73E4" w14:textId="398EE47B" w:rsidR="007D5D59" w:rsidRDefault="007D5D59" w:rsidP="0019696A">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The PSZ series and the simplified series track each other closely with an almost perfect match in 1960 and 2016. The m</w:t>
      </w:r>
      <w:r w:rsidRPr="007D5D59">
        <w:rPr>
          <w:rFonts w:ascii="Times New Roman" w:hAnsi="Times New Roman" w:cs="Times New Roman"/>
          <w:lang w:val="en-US"/>
        </w:rPr>
        <w:t>ain difference is</w:t>
      </w:r>
      <w:r w:rsidR="00DE4269">
        <w:rPr>
          <w:rFonts w:ascii="Times New Roman" w:hAnsi="Times New Roman" w:cs="Times New Roman"/>
          <w:lang w:val="en-US"/>
        </w:rPr>
        <w:t xml:space="preserve"> in the</w:t>
      </w:r>
      <w:r w:rsidRPr="007D5D59">
        <w:rPr>
          <w:rFonts w:ascii="Times New Roman" w:hAnsi="Times New Roman" w:cs="Times New Roman"/>
          <w:lang w:val="en-US"/>
        </w:rPr>
        <w:t xml:space="preserve"> late 1970s early 1980s </w:t>
      </w:r>
      <w:r w:rsidR="000B5E93">
        <w:rPr>
          <w:rFonts w:ascii="Times New Roman" w:hAnsi="Times New Roman" w:cs="Times New Roman"/>
          <w:lang w:val="en-US"/>
        </w:rPr>
        <w:t>when</w:t>
      </w:r>
      <w:r w:rsidRPr="007D5D59">
        <w:rPr>
          <w:rFonts w:ascii="Times New Roman" w:hAnsi="Times New Roman" w:cs="Times New Roman"/>
          <w:lang w:val="en-US"/>
        </w:rPr>
        <w:t xml:space="preserve"> very little taxable capital income </w:t>
      </w:r>
      <w:r w:rsidR="000B5E93">
        <w:rPr>
          <w:rFonts w:ascii="Times New Roman" w:hAnsi="Times New Roman" w:cs="Times New Roman"/>
          <w:lang w:val="en-US"/>
        </w:rPr>
        <w:t xml:space="preserve">was </w:t>
      </w:r>
      <w:r w:rsidRPr="007D5D59">
        <w:rPr>
          <w:rFonts w:ascii="Times New Roman" w:hAnsi="Times New Roman" w:cs="Times New Roman"/>
          <w:lang w:val="en-US"/>
        </w:rPr>
        <w:t>reported (</w:t>
      </w:r>
      <w:r w:rsidR="000B5E93">
        <w:rPr>
          <w:rFonts w:ascii="Times New Roman" w:hAnsi="Times New Roman" w:cs="Times New Roman"/>
          <w:lang w:val="en-US"/>
        </w:rPr>
        <w:t xml:space="preserve">due to large </w:t>
      </w:r>
      <w:r w:rsidRPr="007D5D59">
        <w:rPr>
          <w:rFonts w:ascii="Times New Roman" w:hAnsi="Times New Roman" w:cs="Times New Roman"/>
          <w:lang w:val="en-US"/>
        </w:rPr>
        <w:t>business losses</w:t>
      </w:r>
      <w:r w:rsidR="004C07CD">
        <w:rPr>
          <w:rFonts w:ascii="Times New Roman" w:hAnsi="Times New Roman" w:cs="Times New Roman"/>
          <w:lang w:val="en-US"/>
        </w:rPr>
        <w:t xml:space="preserve"> due</w:t>
      </w:r>
      <w:r w:rsidR="00991A21">
        <w:rPr>
          <w:rFonts w:ascii="Times New Roman" w:hAnsi="Times New Roman" w:cs="Times New Roman"/>
          <w:lang w:val="en-US"/>
        </w:rPr>
        <w:t xml:space="preserve"> in large part</w:t>
      </w:r>
      <w:r w:rsidR="004C07CD">
        <w:rPr>
          <w:rFonts w:ascii="Times New Roman" w:hAnsi="Times New Roman" w:cs="Times New Roman"/>
          <w:lang w:val="en-US"/>
        </w:rPr>
        <w:t xml:space="preserve"> to the development of tax shelters</w:t>
      </w:r>
      <w:r w:rsidRPr="007D5D59">
        <w:rPr>
          <w:rFonts w:ascii="Times New Roman" w:hAnsi="Times New Roman" w:cs="Times New Roman"/>
          <w:lang w:val="en-US"/>
        </w:rPr>
        <w:t>)</w:t>
      </w:r>
      <w:r w:rsidR="004C07CD">
        <w:rPr>
          <w:rFonts w:ascii="Times New Roman" w:hAnsi="Times New Roman" w:cs="Times New Roman"/>
          <w:lang w:val="en-US"/>
        </w:rPr>
        <w:t>. Such</w:t>
      </w:r>
      <w:r w:rsidR="00A30D8C">
        <w:rPr>
          <w:rFonts w:ascii="Times New Roman" w:hAnsi="Times New Roman" w:cs="Times New Roman"/>
          <w:lang w:val="en-US"/>
        </w:rPr>
        <w:t xml:space="preserve"> business losses were corrected for in PSZ (by</w:t>
      </w:r>
      <w:r w:rsidRPr="007D5D59">
        <w:rPr>
          <w:rFonts w:ascii="Times New Roman" w:hAnsi="Times New Roman" w:cs="Times New Roman"/>
          <w:lang w:val="en-US"/>
        </w:rPr>
        <w:t xml:space="preserve"> ignoring business losses) but </w:t>
      </w:r>
      <w:r w:rsidR="003D12AA">
        <w:rPr>
          <w:rFonts w:ascii="Times New Roman" w:hAnsi="Times New Roman" w:cs="Times New Roman"/>
          <w:lang w:val="en-US"/>
        </w:rPr>
        <w:t>not with this simplified method. As a result, the</w:t>
      </w:r>
      <w:r w:rsidRPr="007D5D59">
        <w:rPr>
          <w:rFonts w:ascii="Times New Roman" w:hAnsi="Times New Roman" w:cs="Times New Roman"/>
          <w:lang w:val="en-US"/>
        </w:rPr>
        <w:t xml:space="preserve"> simplified </w:t>
      </w:r>
      <w:r w:rsidR="003D12AA">
        <w:rPr>
          <w:rFonts w:ascii="Times New Roman" w:hAnsi="Times New Roman" w:cs="Times New Roman"/>
          <w:lang w:val="en-US"/>
        </w:rPr>
        <w:t>series undershoot</w:t>
      </w:r>
      <w:r w:rsidRPr="007D5D59">
        <w:rPr>
          <w:rFonts w:ascii="Times New Roman" w:hAnsi="Times New Roman" w:cs="Times New Roman"/>
          <w:lang w:val="en-US"/>
        </w:rPr>
        <w:t xml:space="preserve"> slightly</w:t>
      </w:r>
      <w:r w:rsidR="003D12AA">
        <w:rPr>
          <w:rFonts w:ascii="Times New Roman" w:hAnsi="Times New Roman" w:cs="Times New Roman"/>
          <w:lang w:val="en-US"/>
        </w:rPr>
        <w:t xml:space="preserve"> the PSZ series in that period.</w:t>
      </w:r>
    </w:p>
    <w:p w14:paraId="7E6A238C" w14:textId="7C6E36F6" w:rsidR="00692D93" w:rsidRDefault="00521265" w:rsidP="00336F5F">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More generally, the simplified</w:t>
      </w:r>
      <w:r w:rsidR="00692D93" w:rsidRPr="00E93B88">
        <w:rPr>
          <w:rFonts w:ascii="Times New Roman" w:hAnsi="Times New Roman" w:cs="Times New Roman"/>
          <w:lang w:val="en-US"/>
        </w:rPr>
        <w:t xml:space="preserve"> assumptions are clearly too coarse</w:t>
      </w:r>
      <w:r w:rsidR="00A66FAD">
        <w:rPr>
          <w:rFonts w:ascii="Times New Roman" w:hAnsi="Times New Roman" w:cs="Times New Roman"/>
          <w:lang w:val="en-US"/>
        </w:rPr>
        <w:t xml:space="preserve">. </w:t>
      </w:r>
      <w:r w:rsidR="00692D93" w:rsidRPr="00E93B88">
        <w:rPr>
          <w:rFonts w:ascii="Times New Roman" w:hAnsi="Times New Roman" w:cs="Times New Roman"/>
          <w:lang w:val="en-US"/>
        </w:rPr>
        <w:t xml:space="preserve">In particular, the aggregate of untaxed labor and pension income is a mixed bag of heterogeneous income </w:t>
      </w:r>
      <w:r w:rsidR="00692D93" w:rsidRPr="00E93B88">
        <w:rPr>
          <w:rFonts w:ascii="Times New Roman" w:hAnsi="Times New Roman" w:cs="Times New Roman"/>
          <w:lang w:val="en-US"/>
        </w:rPr>
        <w:lastRenderedPageBreak/>
        <w:t>categories that are distributed very differently (e.g., Social Security benefits are equally distributed, while under reported labor income, most of which is in busines</w:t>
      </w:r>
      <w:r w:rsidR="00795AC0">
        <w:rPr>
          <w:rFonts w:ascii="Times New Roman" w:hAnsi="Times New Roman" w:cs="Times New Roman"/>
          <w:lang w:val="en-US"/>
        </w:rPr>
        <w:t xml:space="preserve">ses, is unequally distributed.) </w:t>
      </w:r>
      <w:r w:rsidR="00C379D0">
        <w:rPr>
          <w:rFonts w:ascii="Times New Roman" w:hAnsi="Times New Roman" w:cs="Times New Roman"/>
          <w:lang w:val="en-US"/>
        </w:rPr>
        <w:t xml:space="preserve">Similarly, untaxed capital income </w:t>
      </w:r>
      <w:r w:rsidR="0087634A">
        <w:rPr>
          <w:rFonts w:ascii="Times New Roman" w:hAnsi="Times New Roman" w:cs="Times New Roman"/>
          <w:lang w:val="en-US"/>
        </w:rPr>
        <w:t xml:space="preserve">includes elements that are very concentrated (such as retained earnings of corporations not owned by pension plans) and elements that are much less concentrated (such as imputed rent of homeowners). </w:t>
      </w:r>
      <w:r w:rsidR="00336F5F">
        <w:rPr>
          <w:rFonts w:ascii="Times New Roman" w:hAnsi="Times New Roman" w:cs="Times New Roman"/>
          <w:lang w:val="en-US"/>
        </w:rPr>
        <w:t>Therefore,</w:t>
      </w:r>
      <w:r w:rsidR="00336F5F" w:rsidRPr="00E93B88">
        <w:rPr>
          <w:rFonts w:ascii="Times New Roman" w:hAnsi="Times New Roman" w:cs="Times New Roman"/>
          <w:lang w:val="en-US"/>
        </w:rPr>
        <w:t xml:space="preserve"> the sophisticated PSZ approach is required to deliver more accurate results.</w:t>
      </w:r>
      <w:r w:rsidR="00336F5F">
        <w:rPr>
          <w:rFonts w:ascii="Times New Roman" w:hAnsi="Times New Roman" w:cs="Times New Roman"/>
          <w:lang w:val="en-US"/>
        </w:rPr>
        <w:t xml:space="preserve"> </w:t>
      </w:r>
      <w:r w:rsidR="007F696E">
        <w:rPr>
          <w:rFonts w:ascii="Times New Roman" w:hAnsi="Times New Roman" w:cs="Times New Roman"/>
          <w:lang w:val="en-US"/>
        </w:rPr>
        <w:t>But at least our two basic</w:t>
      </w:r>
      <w:r w:rsidR="00692D93" w:rsidRPr="00E93B88">
        <w:rPr>
          <w:rFonts w:ascii="Times New Roman" w:hAnsi="Times New Roman" w:cs="Times New Roman"/>
          <w:lang w:val="en-US"/>
        </w:rPr>
        <w:t xml:space="preserve"> assumptions are a reasonable way to distribute the aggregate amount of untaxed income, and for all its complexity the PSZ methodology amounts to making roughly these simple assumptions.</w:t>
      </w:r>
    </w:p>
    <w:p w14:paraId="6B9E0CBD" w14:textId="77777777" w:rsidR="005354CC" w:rsidRDefault="005354CC" w:rsidP="00E93B88">
      <w:pPr>
        <w:spacing w:after="120" w:line="360" w:lineRule="auto"/>
        <w:jc w:val="both"/>
        <w:rPr>
          <w:rFonts w:ascii="Times New Roman" w:hAnsi="Times New Roman" w:cs="Times New Roman"/>
          <w:lang w:val="en-US"/>
        </w:rPr>
      </w:pPr>
    </w:p>
    <w:p w14:paraId="295B9E3B" w14:textId="429A1066" w:rsidR="005354CC" w:rsidRPr="00A00006" w:rsidRDefault="0052458C" w:rsidP="009E2E85">
      <w:pPr>
        <w:spacing w:after="120" w:line="360" w:lineRule="auto"/>
        <w:jc w:val="both"/>
        <w:outlineLvl w:val="0"/>
        <w:rPr>
          <w:rFonts w:ascii="Times New Roman" w:hAnsi="Times New Roman" w:cs="Times New Roman"/>
          <w:b/>
          <w:lang w:val="en-US"/>
        </w:rPr>
      </w:pPr>
      <w:r w:rsidRPr="00A00006">
        <w:rPr>
          <w:rFonts w:ascii="Times New Roman" w:hAnsi="Times New Roman" w:cs="Times New Roman"/>
          <w:b/>
          <w:lang w:val="en-US"/>
        </w:rPr>
        <w:t xml:space="preserve">II. Comparison with </w:t>
      </w:r>
      <w:proofErr w:type="spellStart"/>
      <w:r w:rsidRPr="00A00006">
        <w:rPr>
          <w:rFonts w:ascii="Times New Roman" w:hAnsi="Times New Roman" w:cs="Times New Roman"/>
          <w:b/>
          <w:lang w:val="en-US"/>
        </w:rPr>
        <w:t>Auten</w:t>
      </w:r>
      <w:proofErr w:type="spellEnd"/>
      <w:r w:rsidRPr="00A00006">
        <w:rPr>
          <w:rFonts w:ascii="Times New Roman" w:hAnsi="Times New Roman" w:cs="Times New Roman"/>
          <w:b/>
          <w:lang w:val="en-US"/>
        </w:rPr>
        <w:t xml:space="preserve"> and Splinter (2018)</w:t>
      </w:r>
    </w:p>
    <w:p w14:paraId="35C6837F" w14:textId="7FA0E870" w:rsidR="00CF1CBA" w:rsidRDefault="00E93B88" w:rsidP="00391B8A">
      <w:pPr>
        <w:spacing w:after="120" w:line="360" w:lineRule="auto"/>
        <w:ind w:firstLine="708"/>
        <w:jc w:val="both"/>
        <w:rPr>
          <w:rFonts w:ascii="Times New Roman" w:hAnsi="Times New Roman" w:cs="Times New Roman"/>
          <w:lang w:val="en-US"/>
        </w:rPr>
      </w:pPr>
      <w:proofErr w:type="spellStart"/>
      <w:r w:rsidRPr="00E93B88">
        <w:rPr>
          <w:rFonts w:ascii="Times New Roman" w:hAnsi="Times New Roman" w:cs="Times New Roman"/>
          <w:lang w:val="en-US"/>
        </w:rPr>
        <w:t>Auten</w:t>
      </w:r>
      <w:proofErr w:type="spellEnd"/>
      <w:r w:rsidRPr="00E93B88">
        <w:rPr>
          <w:rFonts w:ascii="Times New Roman" w:hAnsi="Times New Roman" w:cs="Times New Roman"/>
          <w:lang w:val="en-US"/>
        </w:rPr>
        <w:t xml:space="preserve"> and Spl</w:t>
      </w:r>
      <w:r w:rsidR="00A224C1">
        <w:rPr>
          <w:rFonts w:ascii="Times New Roman" w:hAnsi="Times New Roman" w:cs="Times New Roman"/>
          <w:lang w:val="en-US"/>
        </w:rPr>
        <w:t xml:space="preserve">inter </w:t>
      </w:r>
      <w:r w:rsidR="00F123C3">
        <w:rPr>
          <w:rFonts w:ascii="Times New Roman" w:hAnsi="Times New Roman" w:cs="Times New Roman"/>
          <w:lang w:val="en-US"/>
        </w:rPr>
        <w:t>(2018)</w:t>
      </w:r>
      <w:r w:rsidR="002C70B9">
        <w:rPr>
          <w:rFonts w:ascii="Times New Roman" w:hAnsi="Times New Roman" w:cs="Times New Roman"/>
          <w:lang w:val="en-US"/>
        </w:rPr>
        <w:t xml:space="preserve"> also propose to distribute national income by income groups but making different assumptions than PSZ along many dimensions. </w:t>
      </w:r>
      <w:r w:rsidR="001A1A63">
        <w:rPr>
          <w:rFonts w:ascii="Times New Roman" w:hAnsi="Times New Roman" w:cs="Times New Roman"/>
          <w:lang w:val="en-US"/>
        </w:rPr>
        <w:t xml:space="preserve">They start from the fiscal income series of </w:t>
      </w:r>
      <w:proofErr w:type="spellStart"/>
      <w:r w:rsidR="001A1A63">
        <w:rPr>
          <w:rFonts w:ascii="Times New Roman" w:hAnsi="Times New Roman" w:cs="Times New Roman"/>
          <w:lang w:val="en-US"/>
        </w:rPr>
        <w:t>Piketty</w:t>
      </w:r>
      <w:proofErr w:type="spellEnd"/>
      <w:r w:rsidR="001A1A63">
        <w:rPr>
          <w:rFonts w:ascii="Times New Roman" w:hAnsi="Times New Roman" w:cs="Times New Roman"/>
          <w:lang w:val="en-US"/>
        </w:rPr>
        <w:t xml:space="preserve"> and Saez (2003)</w:t>
      </w:r>
      <w:r w:rsidR="00BE16BA">
        <w:rPr>
          <w:rFonts w:ascii="Times New Roman" w:hAnsi="Times New Roman" w:cs="Times New Roman"/>
          <w:lang w:val="en-US"/>
        </w:rPr>
        <w:t xml:space="preserve">, make </w:t>
      </w:r>
      <w:r w:rsidR="0067458A">
        <w:rPr>
          <w:rFonts w:ascii="Times New Roman" w:hAnsi="Times New Roman" w:cs="Times New Roman"/>
          <w:lang w:val="en-US"/>
        </w:rPr>
        <w:t>a number</w:t>
      </w:r>
      <w:r w:rsidR="008D2DF6">
        <w:rPr>
          <w:rFonts w:ascii="Times New Roman" w:hAnsi="Times New Roman" w:cs="Times New Roman"/>
          <w:lang w:val="en-US"/>
        </w:rPr>
        <w:t xml:space="preserve"> of</w:t>
      </w:r>
      <w:r w:rsidR="00BE16BA">
        <w:rPr>
          <w:rFonts w:ascii="Times New Roman" w:hAnsi="Times New Roman" w:cs="Times New Roman"/>
          <w:lang w:val="en-US"/>
        </w:rPr>
        <w:t xml:space="preserve"> definitional changes,</w:t>
      </w:r>
      <w:r w:rsidR="001A1A63">
        <w:rPr>
          <w:rFonts w:ascii="Times New Roman" w:hAnsi="Times New Roman" w:cs="Times New Roman"/>
          <w:lang w:val="en-US"/>
        </w:rPr>
        <w:t xml:space="preserve"> and add </w:t>
      </w:r>
      <w:r w:rsidR="0067458A">
        <w:rPr>
          <w:rFonts w:ascii="Times New Roman" w:hAnsi="Times New Roman" w:cs="Times New Roman"/>
          <w:lang w:val="en-US"/>
        </w:rPr>
        <w:t xml:space="preserve">various </w:t>
      </w:r>
      <w:r w:rsidR="001A1A63">
        <w:rPr>
          <w:rFonts w:ascii="Times New Roman" w:hAnsi="Times New Roman" w:cs="Times New Roman"/>
          <w:lang w:val="en-US"/>
        </w:rPr>
        <w:t>income components not included in fiscal income.</w:t>
      </w:r>
      <w:r w:rsidR="00CF1CBA">
        <w:rPr>
          <w:rFonts w:ascii="Times New Roman" w:hAnsi="Times New Roman" w:cs="Times New Roman"/>
          <w:lang w:val="en-US"/>
        </w:rPr>
        <w:t xml:space="preserve"> In the end, they find </w:t>
      </w:r>
      <w:r w:rsidR="006D45FB">
        <w:rPr>
          <w:rFonts w:ascii="Times New Roman" w:hAnsi="Times New Roman" w:cs="Times New Roman"/>
          <w:lang w:val="en-US"/>
        </w:rPr>
        <w:t>a top 1</w:t>
      </w:r>
      <w:r w:rsidR="009E2E85">
        <w:rPr>
          <w:rFonts w:ascii="Times New Roman" w:hAnsi="Times New Roman" w:cs="Times New Roman"/>
          <w:lang w:val="en-US"/>
        </w:rPr>
        <w:t xml:space="preserve"> percent</w:t>
      </w:r>
      <w:r w:rsidR="006D45FB">
        <w:rPr>
          <w:rFonts w:ascii="Times New Roman" w:hAnsi="Times New Roman" w:cs="Times New Roman"/>
          <w:lang w:val="en-US"/>
        </w:rPr>
        <w:t xml:space="preserve"> income share of 14.2</w:t>
      </w:r>
      <w:r w:rsidR="009E2E85">
        <w:rPr>
          <w:rFonts w:ascii="Times New Roman" w:hAnsi="Times New Roman" w:cs="Times New Roman"/>
          <w:lang w:val="en-US"/>
        </w:rPr>
        <w:t xml:space="preserve"> percent</w:t>
      </w:r>
      <w:r w:rsidR="006D45FB">
        <w:rPr>
          <w:rFonts w:ascii="Times New Roman" w:hAnsi="Times New Roman" w:cs="Times New Roman"/>
          <w:lang w:val="en-US"/>
        </w:rPr>
        <w:t xml:space="preserve"> in 2015. </w:t>
      </w:r>
      <w:r w:rsidR="00432510">
        <w:rPr>
          <w:rFonts w:ascii="Times New Roman" w:hAnsi="Times New Roman" w:cs="Times New Roman"/>
          <w:lang w:val="en-US"/>
        </w:rPr>
        <w:t>Using</w:t>
      </w:r>
      <w:r w:rsidR="009D13BA">
        <w:rPr>
          <w:rFonts w:ascii="Times New Roman" w:hAnsi="Times New Roman" w:cs="Times New Roman"/>
          <w:lang w:val="en-US"/>
        </w:rPr>
        <w:t xml:space="preserve"> the</w:t>
      </w:r>
      <w:r w:rsidR="00432510">
        <w:rPr>
          <w:rFonts w:ascii="Times New Roman" w:hAnsi="Times New Roman" w:cs="Times New Roman"/>
          <w:lang w:val="en-US"/>
        </w:rPr>
        <w:t xml:space="preserve"> national income at factor prices</w:t>
      </w:r>
      <w:r w:rsidR="009D13BA">
        <w:rPr>
          <w:rFonts w:ascii="Times New Roman" w:hAnsi="Times New Roman" w:cs="Times New Roman"/>
          <w:lang w:val="en-US"/>
        </w:rPr>
        <w:t xml:space="preserve"> total of $14.98Tr in 2015</w:t>
      </w:r>
      <w:r w:rsidR="00432510">
        <w:rPr>
          <w:rFonts w:ascii="Times New Roman" w:hAnsi="Times New Roman" w:cs="Times New Roman"/>
          <w:lang w:val="en-US"/>
        </w:rPr>
        <w:t xml:space="preserve">, this </w:t>
      </w:r>
      <w:r w:rsidR="009D13BA">
        <w:rPr>
          <w:rFonts w:ascii="Times New Roman" w:hAnsi="Times New Roman" w:cs="Times New Roman"/>
          <w:lang w:val="en-US"/>
        </w:rPr>
        <w:t>means that the</w:t>
      </w:r>
      <w:r w:rsidR="00440E3C">
        <w:rPr>
          <w:rFonts w:ascii="Times New Roman" w:hAnsi="Times New Roman" w:cs="Times New Roman"/>
          <w:lang w:val="en-US"/>
        </w:rPr>
        <w:t>ir</w:t>
      </w:r>
      <w:r w:rsidR="004C2643">
        <w:rPr>
          <w:rFonts w:ascii="Times New Roman" w:hAnsi="Times New Roman" w:cs="Times New Roman"/>
          <w:lang w:val="en-US"/>
        </w:rPr>
        <w:t xml:space="preserve"> top 1</w:t>
      </w:r>
      <w:r w:rsidR="009E2E85">
        <w:rPr>
          <w:rFonts w:ascii="Times New Roman" w:hAnsi="Times New Roman" w:cs="Times New Roman"/>
          <w:lang w:val="en-US"/>
        </w:rPr>
        <w:t xml:space="preserve"> percent</w:t>
      </w:r>
      <w:r w:rsidR="004C2643">
        <w:rPr>
          <w:rFonts w:ascii="Times New Roman" w:hAnsi="Times New Roman" w:cs="Times New Roman"/>
          <w:lang w:val="en-US"/>
        </w:rPr>
        <w:t xml:space="preserve"> earns $2.13</w:t>
      </w:r>
      <w:r w:rsidR="009D13BA">
        <w:rPr>
          <w:rFonts w:ascii="Times New Roman" w:hAnsi="Times New Roman" w:cs="Times New Roman"/>
          <w:lang w:val="en-US"/>
        </w:rPr>
        <w:t xml:space="preserve">Tr in 2015. In the </w:t>
      </w:r>
      <w:proofErr w:type="spellStart"/>
      <w:r w:rsidR="009D13BA">
        <w:rPr>
          <w:rFonts w:ascii="Times New Roman" w:hAnsi="Times New Roman" w:cs="Times New Roman"/>
          <w:lang w:val="en-US"/>
        </w:rPr>
        <w:t>Piketty</w:t>
      </w:r>
      <w:proofErr w:type="spellEnd"/>
      <w:r w:rsidR="009D13BA">
        <w:rPr>
          <w:rFonts w:ascii="Times New Roman" w:hAnsi="Times New Roman" w:cs="Times New Roman"/>
          <w:lang w:val="en-US"/>
        </w:rPr>
        <w:t xml:space="preserve"> and Saez (2003) fiscal series including </w:t>
      </w:r>
      <w:r w:rsidR="00077AAA">
        <w:rPr>
          <w:rFonts w:ascii="Times New Roman" w:hAnsi="Times New Roman" w:cs="Times New Roman"/>
          <w:lang w:val="en-US"/>
        </w:rPr>
        <w:t xml:space="preserve">realized </w:t>
      </w:r>
      <w:r w:rsidR="009D13BA">
        <w:rPr>
          <w:rFonts w:ascii="Times New Roman" w:hAnsi="Times New Roman" w:cs="Times New Roman"/>
          <w:lang w:val="en-US"/>
        </w:rPr>
        <w:t>capital gains, the top 1</w:t>
      </w:r>
      <w:r w:rsidR="009E2E85">
        <w:rPr>
          <w:rFonts w:ascii="Times New Roman" w:hAnsi="Times New Roman" w:cs="Times New Roman"/>
          <w:lang w:val="en-US"/>
        </w:rPr>
        <w:t xml:space="preserve"> percent</w:t>
      </w:r>
      <w:r w:rsidR="009D13BA">
        <w:rPr>
          <w:rFonts w:ascii="Times New Roman" w:hAnsi="Times New Roman" w:cs="Times New Roman"/>
          <w:lang w:val="en-US"/>
        </w:rPr>
        <w:t xml:space="preserve"> income share in 2015 is 21.6</w:t>
      </w:r>
      <w:r w:rsidR="009E2E85">
        <w:rPr>
          <w:rFonts w:ascii="Times New Roman" w:hAnsi="Times New Roman" w:cs="Times New Roman"/>
          <w:lang w:val="en-US"/>
        </w:rPr>
        <w:t xml:space="preserve"> percent</w:t>
      </w:r>
      <w:r w:rsidR="00440E3C">
        <w:rPr>
          <w:rFonts w:ascii="Times New Roman" w:hAnsi="Times New Roman" w:cs="Times New Roman"/>
          <w:lang w:val="en-US"/>
        </w:rPr>
        <w:t xml:space="preserve"> of </w:t>
      </w:r>
      <w:r w:rsidR="00520F77">
        <w:rPr>
          <w:rFonts w:ascii="Times New Roman" w:hAnsi="Times New Roman" w:cs="Times New Roman"/>
          <w:lang w:val="en-US"/>
        </w:rPr>
        <w:t xml:space="preserve">a </w:t>
      </w:r>
      <w:r w:rsidR="00440E3C">
        <w:rPr>
          <w:rFonts w:ascii="Times New Roman" w:hAnsi="Times New Roman" w:cs="Times New Roman"/>
          <w:lang w:val="en-US"/>
        </w:rPr>
        <w:t>$10.26Tr fiscal income total, which means that the top 1</w:t>
      </w:r>
      <w:r w:rsidR="009E2E85">
        <w:rPr>
          <w:rFonts w:ascii="Times New Roman" w:hAnsi="Times New Roman" w:cs="Times New Roman"/>
          <w:lang w:val="en-US"/>
        </w:rPr>
        <w:t xml:space="preserve"> percent</w:t>
      </w:r>
      <w:r w:rsidR="00440E3C">
        <w:rPr>
          <w:rFonts w:ascii="Times New Roman" w:hAnsi="Times New Roman" w:cs="Times New Roman"/>
          <w:lang w:val="en-US"/>
        </w:rPr>
        <w:t xml:space="preserve"> earns $2.22Tr in fiscal income in 2015. </w:t>
      </w:r>
      <w:r w:rsidR="004F4E29">
        <w:rPr>
          <w:rFonts w:ascii="Times New Roman" w:hAnsi="Times New Roman" w:cs="Times New Roman"/>
          <w:lang w:val="en-US"/>
        </w:rPr>
        <w:t>Therefore</w:t>
      </w:r>
      <w:r w:rsidR="000A1D4D">
        <w:rPr>
          <w:rFonts w:ascii="Times New Roman" w:hAnsi="Times New Roman" w:cs="Times New Roman"/>
          <w:lang w:val="en-US"/>
        </w:rPr>
        <w:t xml:space="preserve">, </w:t>
      </w:r>
      <w:proofErr w:type="spellStart"/>
      <w:r w:rsidR="00B44AD5">
        <w:rPr>
          <w:rFonts w:ascii="Times New Roman" w:hAnsi="Times New Roman" w:cs="Times New Roman"/>
          <w:lang w:val="en-US"/>
        </w:rPr>
        <w:t>Piketty</w:t>
      </w:r>
      <w:proofErr w:type="spellEnd"/>
      <w:r w:rsidR="00B44AD5">
        <w:rPr>
          <w:rFonts w:ascii="Times New Roman" w:hAnsi="Times New Roman" w:cs="Times New Roman"/>
          <w:lang w:val="en-US"/>
        </w:rPr>
        <w:t xml:space="preserve"> and Saez (2003) find </w:t>
      </w:r>
      <w:r w:rsidR="00B44AD5" w:rsidRPr="00787A21">
        <w:rPr>
          <w:rFonts w:ascii="Times New Roman" w:hAnsi="Times New Roman" w:cs="Times New Roman"/>
          <w:i/>
          <w:lang w:val="en-US"/>
        </w:rPr>
        <w:t>more</w:t>
      </w:r>
      <w:r w:rsidR="00B44AD5">
        <w:rPr>
          <w:rFonts w:ascii="Times New Roman" w:hAnsi="Times New Roman" w:cs="Times New Roman"/>
          <w:lang w:val="en-US"/>
        </w:rPr>
        <w:t xml:space="preserve"> income going to the top 1</w:t>
      </w:r>
      <w:r w:rsidR="009E2E85">
        <w:rPr>
          <w:rFonts w:ascii="Times New Roman" w:hAnsi="Times New Roman" w:cs="Times New Roman"/>
          <w:lang w:val="en-US"/>
        </w:rPr>
        <w:t xml:space="preserve"> percent</w:t>
      </w:r>
      <w:r w:rsidR="00B44AD5">
        <w:rPr>
          <w:rFonts w:ascii="Times New Roman" w:hAnsi="Times New Roman" w:cs="Times New Roman"/>
          <w:lang w:val="en-US"/>
        </w:rPr>
        <w:t xml:space="preserve"> by simply looking at their reported fiscal income</w:t>
      </w:r>
      <w:r w:rsidR="006E7F6A">
        <w:rPr>
          <w:rFonts w:ascii="Times New Roman" w:hAnsi="Times New Roman" w:cs="Times New Roman"/>
          <w:lang w:val="en-US"/>
        </w:rPr>
        <w:t xml:space="preserve"> (including realized capital gains)</w:t>
      </w:r>
      <w:r w:rsidR="00B44AD5">
        <w:rPr>
          <w:rFonts w:ascii="Times New Roman" w:hAnsi="Times New Roman" w:cs="Times New Roman"/>
          <w:lang w:val="en-US"/>
        </w:rPr>
        <w:t xml:space="preserve"> tha</w:t>
      </w:r>
      <w:r w:rsidR="00A12812">
        <w:rPr>
          <w:rFonts w:ascii="Times New Roman" w:hAnsi="Times New Roman" w:cs="Times New Roman"/>
          <w:lang w:val="en-US"/>
        </w:rPr>
        <w:t xml:space="preserve">n what </w:t>
      </w:r>
      <w:proofErr w:type="spellStart"/>
      <w:r w:rsidR="00A12812">
        <w:rPr>
          <w:rFonts w:ascii="Times New Roman" w:hAnsi="Times New Roman" w:cs="Times New Roman"/>
          <w:lang w:val="en-US"/>
        </w:rPr>
        <w:t>Auten</w:t>
      </w:r>
      <w:proofErr w:type="spellEnd"/>
      <w:r w:rsidR="00A12812">
        <w:rPr>
          <w:rFonts w:ascii="Times New Roman" w:hAnsi="Times New Roman" w:cs="Times New Roman"/>
          <w:lang w:val="en-US"/>
        </w:rPr>
        <w:t xml:space="preserve"> and Splinter (2018) obtain after </w:t>
      </w:r>
      <w:r w:rsidR="00E563C2">
        <w:rPr>
          <w:rFonts w:ascii="Times New Roman" w:hAnsi="Times New Roman" w:cs="Times New Roman"/>
          <w:lang w:val="en-US"/>
        </w:rPr>
        <w:t>adding various income components that enlarge the denominator income base</w:t>
      </w:r>
      <w:r w:rsidR="007F63FC">
        <w:rPr>
          <w:rFonts w:ascii="Times New Roman" w:hAnsi="Times New Roman" w:cs="Times New Roman"/>
          <w:lang w:val="en-US"/>
        </w:rPr>
        <w:t xml:space="preserve"> by 46</w:t>
      </w:r>
      <w:r w:rsidR="009E2E85">
        <w:rPr>
          <w:rFonts w:ascii="Times New Roman" w:hAnsi="Times New Roman" w:cs="Times New Roman"/>
          <w:lang w:val="en-US"/>
        </w:rPr>
        <w:t xml:space="preserve"> percent</w:t>
      </w:r>
      <w:r w:rsidR="00E563C2">
        <w:rPr>
          <w:rFonts w:ascii="Times New Roman" w:hAnsi="Times New Roman" w:cs="Times New Roman"/>
          <w:lang w:val="en-US"/>
        </w:rPr>
        <w:t xml:space="preserve"> from $10.26Tr to $14.98Tr.</w:t>
      </w:r>
      <w:r w:rsidR="00352C25">
        <w:rPr>
          <w:rFonts w:ascii="Times New Roman" w:hAnsi="Times New Roman" w:cs="Times New Roman"/>
          <w:lang w:val="en-US"/>
        </w:rPr>
        <w:t xml:space="preserve"> </w:t>
      </w:r>
    </w:p>
    <w:p w14:paraId="474BABEC" w14:textId="2FD5A4B4" w:rsidR="00324219" w:rsidRDefault="005967DF" w:rsidP="00EC0331">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As shown on Fi</w:t>
      </w:r>
      <w:r w:rsidR="00D52363">
        <w:rPr>
          <w:rFonts w:ascii="Times New Roman" w:hAnsi="Times New Roman" w:cs="Times New Roman"/>
          <w:lang w:val="en-US"/>
        </w:rPr>
        <w:t>gure 1</w:t>
      </w:r>
      <w:r w:rsidR="006B4E74">
        <w:rPr>
          <w:rFonts w:ascii="Times New Roman" w:hAnsi="Times New Roman" w:cs="Times New Roman"/>
          <w:lang w:val="en-US"/>
        </w:rPr>
        <w:t xml:space="preserve">, </w:t>
      </w:r>
      <w:proofErr w:type="spellStart"/>
      <w:r w:rsidR="006B4E74">
        <w:rPr>
          <w:rFonts w:ascii="Times New Roman" w:hAnsi="Times New Roman" w:cs="Times New Roman"/>
          <w:lang w:val="en-US"/>
        </w:rPr>
        <w:t>Auten</w:t>
      </w:r>
      <w:proofErr w:type="spellEnd"/>
      <w:r w:rsidR="006B4E74">
        <w:rPr>
          <w:rFonts w:ascii="Times New Roman" w:hAnsi="Times New Roman" w:cs="Times New Roman"/>
          <w:lang w:val="en-US"/>
        </w:rPr>
        <w:t xml:space="preserve"> and Splinter also</w:t>
      </w:r>
      <w:r w:rsidR="00A224C1">
        <w:rPr>
          <w:rFonts w:ascii="Times New Roman" w:hAnsi="Times New Roman" w:cs="Times New Roman"/>
          <w:lang w:val="en-US"/>
        </w:rPr>
        <w:t xml:space="preserve"> </w:t>
      </w:r>
      <w:r w:rsidR="00766595">
        <w:rPr>
          <w:rFonts w:ascii="Times New Roman" w:hAnsi="Times New Roman" w:cs="Times New Roman"/>
          <w:lang w:val="en-US"/>
        </w:rPr>
        <w:t>find</w:t>
      </w:r>
      <w:r w:rsidR="00A224C1">
        <w:rPr>
          <w:rFonts w:ascii="Times New Roman" w:hAnsi="Times New Roman" w:cs="Times New Roman"/>
          <w:lang w:val="en-US"/>
        </w:rPr>
        <w:t xml:space="preserve"> that the top 1</w:t>
      </w:r>
      <w:r w:rsidR="009E2E85">
        <w:rPr>
          <w:rFonts w:ascii="Times New Roman" w:hAnsi="Times New Roman" w:cs="Times New Roman"/>
          <w:lang w:val="en-US"/>
        </w:rPr>
        <w:t xml:space="preserve"> percent</w:t>
      </w:r>
      <w:r w:rsidR="00E93B88" w:rsidRPr="00E93B88">
        <w:rPr>
          <w:rFonts w:ascii="Times New Roman" w:hAnsi="Times New Roman" w:cs="Times New Roman"/>
          <w:lang w:val="en-US"/>
        </w:rPr>
        <w:t xml:space="preserve"> share of pre-tax national income has barely increased since 1960 (+2.8 points instead of +9.4 for fiscal income). For this to be true, </w:t>
      </w:r>
      <w:r w:rsidR="00FC4EB4">
        <w:rPr>
          <w:rFonts w:ascii="Times New Roman" w:hAnsi="Times New Roman" w:cs="Times New Roman"/>
          <w:lang w:val="en-US"/>
        </w:rPr>
        <w:t>it must be the case that the 36</w:t>
      </w:r>
      <w:r w:rsidR="009E2E85">
        <w:rPr>
          <w:rFonts w:ascii="Times New Roman" w:hAnsi="Times New Roman" w:cs="Times New Roman"/>
          <w:lang w:val="en-US"/>
        </w:rPr>
        <w:t xml:space="preserve"> percent</w:t>
      </w:r>
      <w:r w:rsidR="00E93B88" w:rsidRPr="00E93B88">
        <w:rPr>
          <w:rFonts w:ascii="Times New Roman" w:hAnsi="Times New Roman" w:cs="Times New Roman"/>
          <w:lang w:val="en-US"/>
        </w:rPr>
        <w:t xml:space="preserve"> of national </w:t>
      </w:r>
      <w:proofErr w:type="gramStart"/>
      <w:r w:rsidR="00E93B88" w:rsidRPr="00E93B88">
        <w:rPr>
          <w:rFonts w:ascii="Times New Roman" w:hAnsi="Times New Roman" w:cs="Times New Roman"/>
          <w:lang w:val="en-US"/>
        </w:rPr>
        <w:t>income which are not reported on individual tax returns</w:t>
      </w:r>
      <w:proofErr w:type="gramEnd"/>
      <w:r w:rsidR="00E93B88" w:rsidRPr="00E93B88">
        <w:rPr>
          <w:rFonts w:ascii="Times New Roman" w:hAnsi="Times New Roman" w:cs="Times New Roman"/>
          <w:lang w:val="en-US"/>
        </w:rPr>
        <w:t xml:space="preserve"> have become enormously less concentrated over time. This equali</w:t>
      </w:r>
      <w:r w:rsidR="008D2578">
        <w:rPr>
          <w:rFonts w:ascii="Times New Roman" w:hAnsi="Times New Roman" w:cs="Times New Roman"/>
          <w:lang w:val="en-US"/>
        </w:rPr>
        <w:t xml:space="preserve">zation process must have been </w:t>
      </w:r>
      <w:r w:rsidR="00E93B88" w:rsidRPr="00E93B88">
        <w:rPr>
          <w:rFonts w:ascii="Times New Roman" w:hAnsi="Times New Roman" w:cs="Times New Roman"/>
          <w:lang w:val="en-US"/>
        </w:rPr>
        <w:t xml:space="preserve">so powerful as to offset the upsurge in the concentration of the (much larger) flow of reported fiscal income. </w:t>
      </w:r>
      <w:proofErr w:type="spellStart"/>
      <w:r w:rsidR="00E93B88" w:rsidRPr="00E93B88">
        <w:rPr>
          <w:rFonts w:ascii="Times New Roman" w:hAnsi="Times New Roman" w:cs="Times New Roman"/>
          <w:lang w:val="en-US"/>
        </w:rPr>
        <w:t>Piketty</w:t>
      </w:r>
      <w:proofErr w:type="spellEnd"/>
      <w:r w:rsidR="00E93B88" w:rsidRPr="00E93B88">
        <w:rPr>
          <w:rFonts w:ascii="Times New Roman" w:hAnsi="Times New Roman" w:cs="Times New Roman"/>
          <w:lang w:val="en-US"/>
        </w:rPr>
        <w:t xml:space="preserve">, Saez, and </w:t>
      </w:r>
      <w:proofErr w:type="spellStart"/>
      <w:r w:rsidR="00E93B88" w:rsidRPr="00E93B88">
        <w:rPr>
          <w:rFonts w:ascii="Times New Roman" w:hAnsi="Times New Roman" w:cs="Times New Roman"/>
          <w:lang w:val="en-US"/>
        </w:rPr>
        <w:t>Zucman</w:t>
      </w:r>
      <w:proofErr w:type="spellEnd"/>
      <w:r w:rsidR="00E93B88" w:rsidRPr="00E93B88">
        <w:rPr>
          <w:rFonts w:ascii="Times New Roman" w:hAnsi="Times New Roman" w:cs="Times New Roman"/>
          <w:lang w:val="en-US"/>
        </w:rPr>
        <w:t xml:space="preserve"> (2018) </w:t>
      </w:r>
      <w:r w:rsidR="00D23EBF">
        <w:rPr>
          <w:rFonts w:ascii="Times New Roman" w:hAnsi="Times New Roman" w:cs="Times New Roman"/>
          <w:lang w:val="en-US"/>
        </w:rPr>
        <w:t>find that the 36</w:t>
      </w:r>
      <w:r w:rsidR="009E2E85">
        <w:rPr>
          <w:rFonts w:ascii="Times New Roman" w:hAnsi="Times New Roman" w:cs="Times New Roman"/>
          <w:lang w:val="en-US"/>
        </w:rPr>
        <w:t xml:space="preserve"> percent</w:t>
      </w:r>
      <w:r w:rsidR="00E93B88" w:rsidRPr="00E93B88">
        <w:rPr>
          <w:rFonts w:ascii="Times New Roman" w:hAnsi="Times New Roman" w:cs="Times New Roman"/>
          <w:lang w:val="en-US"/>
        </w:rPr>
        <w:t xml:space="preserve"> of national income not in tax returns has become slightly less concentrated over time. Is it conceivable that it has in fact become dramatically less concentrated? </w:t>
      </w:r>
    </w:p>
    <w:p w14:paraId="76C736BA" w14:textId="04A30BC7" w:rsidR="000F6A65" w:rsidRDefault="00E536EF" w:rsidP="00EC0331">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lastRenderedPageBreak/>
        <w:t xml:space="preserve">What </w:t>
      </w:r>
      <w:r w:rsidR="00E93B88" w:rsidRPr="00E93B88">
        <w:rPr>
          <w:rFonts w:ascii="Times New Roman" w:hAnsi="Times New Roman" w:cs="Times New Roman"/>
          <w:lang w:val="en-US"/>
        </w:rPr>
        <w:t>assumptions on the evolution of the distribution of the untaxed income categories</w:t>
      </w:r>
      <w:r>
        <w:rPr>
          <w:rFonts w:ascii="Times New Roman" w:hAnsi="Times New Roman" w:cs="Times New Roman"/>
          <w:lang w:val="en-US"/>
        </w:rPr>
        <w:t xml:space="preserve"> are needed</w:t>
      </w:r>
      <w:r w:rsidR="00E93B88" w:rsidRPr="00E93B88">
        <w:rPr>
          <w:rFonts w:ascii="Times New Roman" w:hAnsi="Times New Roman" w:cs="Times New Roman"/>
          <w:lang w:val="en-US"/>
        </w:rPr>
        <w:t xml:space="preserve"> to recover the </w:t>
      </w:r>
      <w:proofErr w:type="spellStart"/>
      <w:r w:rsidR="00331C43" w:rsidRPr="00E93B88">
        <w:rPr>
          <w:rFonts w:ascii="Times New Roman" w:hAnsi="Times New Roman" w:cs="Times New Roman"/>
          <w:lang w:val="en-US"/>
        </w:rPr>
        <w:t>Auten</w:t>
      </w:r>
      <w:proofErr w:type="spellEnd"/>
      <w:r w:rsidR="00331C43" w:rsidRPr="00E93B88">
        <w:rPr>
          <w:rFonts w:ascii="Times New Roman" w:hAnsi="Times New Roman" w:cs="Times New Roman"/>
          <w:lang w:val="en-US"/>
        </w:rPr>
        <w:t xml:space="preserve"> and Spl</w:t>
      </w:r>
      <w:r w:rsidR="00331C43">
        <w:rPr>
          <w:rFonts w:ascii="Times New Roman" w:hAnsi="Times New Roman" w:cs="Times New Roman"/>
          <w:lang w:val="en-US"/>
        </w:rPr>
        <w:t xml:space="preserve">inter (2018) </w:t>
      </w:r>
      <w:r>
        <w:rPr>
          <w:rFonts w:ascii="Times New Roman" w:hAnsi="Times New Roman" w:cs="Times New Roman"/>
          <w:lang w:val="en-US"/>
        </w:rPr>
        <w:t>results?</w:t>
      </w:r>
      <w:r w:rsidR="00E93B88" w:rsidRPr="00E93B88">
        <w:rPr>
          <w:rFonts w:ascii="Times New Roman" w:hAnsi="Times New Roman" w:cs="Times New Roman"/>
          <w:lang w:val="en-US"/>
        </w:rPr>
        <w:t xml:space="preserve"> </w:t>
      </w:r>
      <w:r w:rsidR="00C7709E">
        <w:rPr>
          <w:rFonts w:ascii="Times New Roman" w:hAnsi="Times New Roman" w:cs="Times New Roman"/>
          <w:lang w:val="en-US"/>
        </w:rPr>
        <w:t>O</w:t>
      </w:r>
      <w:r w:rsidR="00E93B88" w:rsidRPr="00E93B88">
        <w:rPr>
          <w:rFonts w:ascii="Times New Roman" w:hAnsi="Times New Roman" w:cs="Times New Roman"/>
          <w:lang w:val="en-US"/>
        </w:rPr>
        <w:t xml:space="preserve">ne can recover the </w:t>
      </w:r>
      <w:proofErr w:type="spellStart"/>
      <w:r w:rsidR="00331C43" w:rsidRPr="00E93B88">
        <w:rPr>
          <w:rFonts w:ascii="Times New Roman" w:hAnsi="Times New Roman" w:cs="Times New Roman"/>
          <w:lang w:val="en-US"/>
        </w:rPr>
        <w:t>Auten</w:t>
      </w:r>
      <w:proofErr w:type="spellEnd"/>
      <w:r w:rsidR="00331C43" w:rsidRPr="00E93B88">
        <w:rPr>
          <w:rFonts w:ascii="Times New Roman" w:hAnsi="Times New Roman" w:cs="Times New Roman"/>
          <w:lang w:val="en-US"/>
        </w:rPr>
        <w:t xml:space="preserve"> and Spl</w:t>
      </w:r>
      <w:r w:rsidR="00331C43">
        <w:rPr>
          <w:rFonts w:ascii="Times New Roman" w:hAnsi="Times New Roman" w:cs="Times New Roman"/>
          <w:lang w:val="en-US"/>
        </w:rPr>
        <w:t xml:space="preserve">inter (2018) </w:t>
      </w:r>
      <w:r w:rsidR="008049D3">
        <w:rPr>
          <w:rFonts w:ascii="Times New Roman" w:hAnsi="Times New Roman" w:cs="Times New Roman"/>
          <w:lang w:val="en-US"/>
        </w:rPr>
        <w:t>top 1</w:t>
      </w:r>
      <w:r w:rsidR="009E2E85">
        <w:rPr>
          <w:rFonts w:ascii="Times New Roman" w:hAnsi="Times New Roman" w:cs="Times New Roman"/>
          <w:lang w:val="en-US"/>
        </w:rPr>
        <w:t xml:space="preserve"> percent</w:t>
      </w:r>
      <w:r w:rsidR="00E93B88" w:rsidRPr="00E93B88">
        <w:rPr>
          <w:rFonts w:ascii="Times New Roman" w:hAnsi="Times New Roman" w:cs="Times New Roman"/>
          <w:lang w:val="en-US"/>
        </w:rPr>
        <w:t xml:space="preserve"> pre-tax income share</w:t>
      </w:r>
      <w:r w:rsidR="0022128D">
        <w:rPr>
          <w:rFonts w:ascii="Times New Roman" w:hAnsi="Times New Roman" w:cs="Times New Roman"/>
          <w:lang w:val="en-US"/>
        </w:rPr>
        <w:t>s</w:t>
      </w:r>
      <w:r w:rsidR="00E93B88" w:rsidRPr="00E93B88">
        <w:rPr>
          <w:rFonts w:ascii="Times New Roman" w:hAnsi="Times New Roman" w:cs="Times New Roman"/>
          <w:lang w:val="en-US"/>
        </w:rPr>
        <w:t xml:space="preserve"> by</w:t>
      </w:r>
      <w:r w:rsidR="00D7011F">
        <w:rPr>
          <w:rFonts w:ascii="Times New Roman" w:hAnsi="Times New Roman" w:cs="Times New Roman"/>
          <w:lang w:val="en-US"/>
        </w:rPr>
        <w:t xml:space="preserve"> changing our two assumptions as follows.</w:t>
      </w:r>
    </w:p>
    <w:p w14:paraId="53BB96BA" w14:textId="382EEAEB" w:rsidR="005D15A7" w:rsidRDefault="005D15A7" w:rsidP="005D15A7">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 xml:space="preserve">Under our assumption 1, </w:t>
      </w:r>
      <w:r w:rsidR="00D7011F">
        <w:rPr>
          <w:rFonts w:ascii="Times New Roman" w:hAnsi="Times New Roman" w:cs="Times New Roman"/>
          <w:lang w:val="en-US"/>
        </w:rPr>
        <w:t>non-taxable labor and pension income and capital income earned on pension plans is distri</w:t>
      </w:r>
      <w:r>
        <w:rPr>
          <w:rFonts w:ascii="Times New Roman" w:hAnsi="Times New Roman" w:cs="Times New Roman"/>
          <w:lang w:val="en-US"/>
        </w:rPr>
        <w:t xml:space="preserve">buted like taxable labor income. </w:t>
      </w:r>
      <w:r w:rsidR="00180BA4">
        <w:rPr>
          <w:rFonts w:ascii="Times New Roman" w:hAnsi="Times New Roman" w:cs="Times New Roman"/>
          <w:lang w:val="en-US"/>
        </w:rPr>
        <w:t>The share going to the top 1</w:t>
      </w:r>
      <w:r w:rsidR="009E2E85">
        <w:rPr>
          <w:rFonts w:ascii="Times New Roman" w:hAnsi="Times New Roman" w:cs="Times New Roman"/>
          <w:lang w:val="en-US"/>
        </w:rPr>
        <w:t xml:space="preserve"> percent</w:t>
      </w:r>
      <w:r>
        <w:rPr>
          <w:rFonts w:ascii="Times New Roman" w:hAnsi="Times New Roman" w:cs="Times New Roman"/>
          <w:lang w:val="en-US"/>
        </w:rPr>
        <w:t xml:space="preserve"> grows from 6</w:t>
      </w:r>
      <w:r w:rsidR="009E2E85">
        <w:rPr>
          <w:rFonts w:ascii="Times New Roman" w:hAnsi="Times New Roman" w:cs="Times New Roman"/>
          <w:lang w:val="en-US"/>
        </w:rPr>
        <w:t xml:space="preserve"> percent</w:t>
      </w:r>
      <w:r>
        <w:rPr>
          <w:rFonts w:ascii="Times New Roman" w:hAnsi="Times New Roman" w:cs="Times New Roman"/>
          <w:lang w:val="en-US"/>
        </w:rPr>
        <w:t xml:space="preserve"> in 1960 (when labor income had low concentration) to 15</w:t>
      </w:r>
      <w:r w:rsidR="009E2E85">
        <w:rPr>
          <w:rFonts w:ascii="Times New Roman" w:hAnsi="Times New Roman" w:cs="Times New Roman"/>
          <w:lang w:val="en-US"/>
        </w:rPr>
        <w:t xml:space="preserve"> percent</w:t>
      </w:r>
      <w:r>
        <w:rPr>
          <w:rFonts w:ascii="Times New Roman" w:hAnsi="Times New Roman" w:cs="Times New Roman"/>
          <w:lang w:val="en-US"/>
        </w:rPr>
        <w:t xml:space="preserve"> in 2016 (when labor income is much more concentrated). Instead, </w:t>
      </w:r>
      <w:r w:rsidR="00344DAB">
        <w:rPr>
          <w:rFonts w:ascii="Times New Roman" w:hAnsi="Times New Roman" w:cs="Times New Roman"/>
          <w:lang w:val="en-US"/>
        </w:rPr>
        <w:t xml:space="preserve">to replicate </w:t>
      </w:r>
      <w:proofErr w:type="spellStart"/>
      <w:r w:rsidR="00344DAB">
        <w:rPr>
          <w:rFonts w:ascii="Times New Roman" w:hAnsi="Times New Roman" w:cs="Times New Roman"/>
          <w:lang w:val="en-US"/>
        </w:rPr>
        <w:t>Auten</w:t>
      </w:r>
      <w:proofErr w:type="spellEnd"/>
      <w:r w:rsidR="00344DAB">
        <w:rPr>
          <w:rFonts w:ascii="Times New Roman" w:hAnsi="Times New Roman" w:cs="Times New Roman"/>
          <w:lang w:val="en-US"/>
        </w:rPr>
        <w:t xml:space="preserve"> and Splinter, </w:t>
      </w:r>
      <w:r>
        <w:rPr>
          <w:rFonts w:ascii="Times New Roman" w:hAnsi="Times New Roman" w:cs="Times New Roman"/>
          <w:lang w:val="en-US"/>
        </w:rPr>
        <w:t>we assume that the concentration of non-taxable labor and pension income and capital income earned on pension plans remains frozen at its 1960 level, i.e., the top 1</w:t>
      </w:r>
      <w:r w:rsidR="009E2E85">
        <w:rPr>
          <w:rFonts w:ascii="Times New Roman" w:hAnsi="Times New Roman" w:cs="Times New Roman"/>
          <w:lang w:val="en-US"/>
        </w:rPr>
        <w:t xml:space="preserve"> percent</w:t>
      </w:r>
      <w:r>
        <w:rPr>
          <w:rFonts w:ascii="Times New Roman" w:hAnsi="Times New Roman" w:cs="Times New Roman"/>
          <w:lang w:val="en-US"/>
        </w:rPr>
        <w:t xml:space="preserve"> get only 6</w:t>
      </w:r>
      <w:r w:rsidR="009E2E85">
        <w:rPr>
          <w:rFonts w:ascii="Times New Roman" w:hAnsi="Times New Roman" w:cs="Times New Roman"/>
          <w:lang w:val="en-US"/>
        </w:rPr>
        <w:t xml:space="preserve"> percent</w:t>
      </w:r>
      <w:r>
        <w:rPr>
          <w:rFonts w:ascii="Times New Roman" w:hAnsi="Times New Roman" w:cs="Times New Roman"/>
          <w:lang w:val="en-US"/>
        </w:rPr>
        <w:t xml:space="preserve"> of such income throughout the full period 1960-2016.</w:t>
      </w:r>
      <w:r w:rsidR="00150A0A">
        <w:rPr>
          <w:rFonts w:ascii="Times New Roman" w:hAnsi="Times New Roman" w:cs="Times New Roman"/>
          <w:lang w:val="en-US"/>
        </w:rPr>
        <w:t xml:space="preserve"> This is a very low level that essentially states that the rich have been </w:t>
      </w:r>
      <w:r w:rsidR="00F64710">
        <w:rPr>
          <w:rFonts w:ascii="Times New Roman" w:hAnsi="Times New Roman" w:cs="Times New Roman"/>
          <w:lang w:val="en-US"/>
        </w:rPr>
        <w:t xml:space="preserve">largely </w:t>
      </w:r>
      <w:r w:rsidR="00150A0A">
        <w:rPr>
          <w:rFonts w:ascii="Times New Roman" w:hAnsi="Times New Roman" w:cs="Times New Roman"/>
          <w:lang w:val="en-US"/>
        </w:rPr>
        <w:t>left out of the explosion of pension</w:t>
      </w:r>
      <w:r w:rsidR="00F64710">
        <w:rPr>
          <w:rFonts w:ascii="Times New Roman" w:hAnsi="Times New Roman" w:cs="Times New Roman"/>
          <w:lang w:val="en-US"/>
        </w:rPr>
        <w:t xml:space="preserve"> funds, fringe benefits, and the surge of business income that is under-reported on tax returns.</w:t>
      </w:r>
      <w:r w:rsidR="006D54F6">
        <w:rPr>
          <w:rStyle w:val="FootnoteReference"/>
          <w:rFonts w:ascii="Times New Roman" w:hAnsi="Times New Roman" w:cs="Times New Roman"/>
          <w:lang w:val="en-US"/>
        </w:rPr>
        <w:footnoteReference w:id="4"/>
      </w:r>
      <w:r w:rsidR="00F64710">
        <w:rPr>
          <w:rFonts w:ascii="Times New Roman" w:hAnsi="Times New Roman" w:cs="Times New Roman"/>
          <w:lang w:val="en-US"/>
        </w:rPr>
        <w:t xml:space="preserve"> </w:t>
      </w:r>
    </w:p>
    <w:p w14:paraId="7E556B41" w14:textId="0DA06954" w:rsidR="002313E2" w:rsidRDefault="00CB5A50" w:rsidP="00807A6B">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Under our assumption 2,</w:t>
      </w:r>
      <w:r w:rsidR="00064503">
        <w:rPr>
          <w:rFonts w:ascii="Times New Roman" w:hAnsi="Times New Roman" w:cs="Times New Roman"/>
          <w:lang w:val="en-US"/>
        </w:rPr>
        <w:t xml:space="preserve"> t</w:t>
      </w:r>
      <w:r w:rsidR="005D15A7">
        <w:rPr>
          <w:rFonts w:ascii="Times New Roman" w:hAnsi="Times New Roman" w:cs="Times New Roman"/>
          <w:lang w:val="en-US"/>
        </w:rPr>
        <w:t xml:space="preserve">he share of other untaxed </w:t>
      </w:r>
      <w:r w:rsidR="005D15A7" w:rsidRPr="00E93B88">
        <w:rPr>
          <w:rFonts w:ascii="Times New Roman" w:hAnsi="Times New Roman" w:cs="Times New Roman"/>
          <w:lang w:val="en-US"/>
        </w:rPr>
        <w:t xml:space="preserve">capital income </w:t>
      </w:r>
      <w:r w:rsidR="005D15A7">
        <w:rPr>
          <w:rFonts w:ascii="Times New Roman" w:hAnsi="Times New Roman" w:cs="Times New Roman"/>
          <w:lang w:val="en-US"/>
        </w:rPr>
        <w:t>in national income accruing to top 1</w:t>
      </w:r>
      <w:r w:rsidR="009E2E85">
        <w:rPr>
          <w:rFonts w:ascii="Times New Roman" w:hAnsi="Times New Roman" w:cs="Times New Roman"/>
          <w:lang w:val="en-US"/>
        </w:rPr>
        <w:t xml:space="preserve"> percent</w:t>
      </w:r>
      <w:r w:rsidR="005D15A7">
        <w:rPr>
          <w:rFonts w:ascii="Times New Roman" w:hAnsi="Times New Roman" w:cs="Times New Roman"/>
          <w:lang w:val="en-US"/>
        </w:rPr>
        <w:t xml:space="preserve"> earners is assumed to be the same as the share of taxable capital income in fiscal income accruing to top 1</w:t>
      </w:r>
      <w:r w:rsidR="009E2E85">
        <w:rPr>
          <w:rFonts w:ascii="Times New Roman" w:hAnsi="Times New Roman" w:cs="Times New Roman"/>
          <w:lang w:val="en-US"/>
        </w:rPr>
        <w:t xml:space="preserve"> percent</w:t>
      </w:r>
      <w:r w:rsidR="005D15A7">
        <w:rPr>
          <w:rFonts w:ascii="Times New Roman" w:hAnsi="Times New Roman" w:cs="Times New Roman"/>
          <w:lang w:val="en-US"/>
        </w:rPr>
        <w:t xml:space="preserve"> earners. </w:t>
      </w:r>
      <w:r w:rsidR="00E67175">
        <w:rPr>
          <w:rFonts w:ascii="Times New Roman" w:hAnsi="Times New Roman" w:cs="Times New Roman"/>
          <w:lang w:val="en-US"/>
        </w:rPr>
        <w:t xml:space="preserve">It is very concentrated </w:t>
      </w:r>
      <w:r w:rsidR="00C23CB6">
        <w:rPr>
          <w:rFonts w:ascii="Times New Roman" w:hAnsi="Times New Roman" w:cs="Times New Roman"/>
          <w:lang w:val="en-US"/>
        </w:rPr>
        <w:t>with the share accruing to the top 1</w:t>
      </w:r>
      <w:r w:rsidR="009E2E85">
        <w:rPr>
          <w:rFonts w:ascii="Times New Roman" w:hAnsi="Times New Roman" w:cs="Times New Roman"/>
          <w:lang w:val="en-US"/>
        </w:rPr>
        <w:t xml:space="preserve"> percent</w:t>
      </w:r>
      <w:r w:rsidR="00C23CB6">
        <w:rPr>
          <w:rFonts w:ascii="Times New Roman" w:hAnsi="Times New Roman" w:cs="Times New Roman"/>
          <w:lang w:val="en-US"/>
        </w:rPr>
        <w:t xml:space="preserve"> growing from 40</w:t>
      </w:r>
      <w:r w:rsidR="009E2E85">
        <w:rPr>
          <w:rFonts w:ascii="Times New Roman" w:hAnsi="Times New Roman" w:cs="Times New Roman"/>
          <w:lang w:val="en-US"/>
        </w:rPr>
        <w:t xml:space="preserve"> percent</w:t>
      </w:r>
      <w:r w:rsidR="00C23CB6">
        <w:rPr>
          <w:rFonts w:ascii="Times New Roman" w:hAnsi="Times New Roman" w:cs="Times New Roman"/>
          <w:lang w:val="en-US"/>
        </w:rPr>
        <w:t xml:space="preserve"> in 1960 to 48</w:t>
      </w:r>
      <w:r w:rsidR="009E2E85">
        <w:rPr>
          <w:rFonts w:ascii="Times New Roman" w:hAnsi="Times New Roman" w:cs="Times New Roman"/>
          <w:lang w:val="en-US"/>
        </w:rPr>
        <w:t xml:space="preserve"> percent</w:t>
      </w:r>
      <w:r w:rsidR="00C23CB6">
        <w:rPr>
          <w:rFonts w:ascii="Times New Roman" w:hAnsi="Times New Roman" w:cs="Times New Roman"/>
          <w:lang w:val="en-US"/>
        </w:rPr>
        <w:t xml:space="preserve"> in 2016. Instead, </w:t>
      </w:r>
      <w:r w:rsidR="006013CB">
        <w:rPr>
          <w:rFonts w:ascii="Times New Roman" w:hAnsi="Times New Roman" w:cs="Times New Roman"/>
          <w:lang w:val="en-US"/>
        </w:rPr>
        <w:t xml:space="preserve">to replicate </w:t>
      </w:r>
      <w:proofErr w:type="spellStart"/>
      <w:r w:rsidR="006013CB">
        <w:rPr>
          <w:rFonts w:ascii="Times New Roman" w:hAnsi="Times New Roman" w:cs="Times New Roman"/>
          <w:lang w:val="en-US"/>
        </w:rPr>
        <w:t>Auten</w:t>
      </w:r>
      <w:proofErr w:type="spellEnd"/>
      <w:r w:rsidR="006013CB">
        <w:rPr>
          <w:rFonts w:ascii="Times New Roman" w:hAnsi="Times New Roman" w:cs="Times New Roman"/>
          <w:lang w:val="en-US"/>
        </w:rPr>
        <w:t xml:space="preserve"> and Splinter, </w:t>
      </w:r>
      <w:r w:rsidR="00C23CB6">
        <w:rPr>
          <w:rFonts w:ascii="Times New Roman" w:hAnsi="Times New Roman" w:cs="Times New Roman"/>
          <w:lang w:val="en-US"/>
        </w:rPr>
        <w:t xml:space="preserve">we assume that </w:t>
      </w:r>
      <w:r w:rsidR="00E93B88" w:rsidRPr="00E93B88">
        <w:rPr>
          <w:rFonts w:ascii="Times New Roman" w:hAnsi="Times New Roman" w:cs="Times New Roman"/>
          <w:lang w:val="en-US"/>
        </w:rPr>
        <w:t>the share of other untaxed cap</w:t>
      </w:r>
      <w:r w:rsidR="00331C43">
        <w:rPr>
          <w:rFonts w:ascii="Times New Roman" w:hAnsi="Times New Roman" w:cs="Times New Roman"/>
          <w:lang w:val="en-US"/>
        </w:rPr>
        <w:t>ital income earned by the top 1</w:t>
      </w:r>
      <w:r w:rsidR="009E2E85">
        <w:rPr>
          <w:rFonts w:ascii="Times New Roman" w:hAnsi="Times New Roman" w:cs="Times New Roman"/>
          <w:lang w:val="en-US"/>
        </w:rPr>
        <w:t xml:space="preserve"> percent</w:t>
      </w:r>
      <w:r w:rsidR="00331C43">
        <w:rPr>
          <w:rFonts w:ascii="Times New Roman" w:hAnsi="Times New Roman" w:cs="Times New Roman"/>
          <w:lang w:val="en-US"/>
        </w:rPr>
        <w:t xml:space="preserve"> declines</w:t>
      </w:r>
      <w:r w:rsidR="006B2B93">
        <w:rPr>
          <w:rFonts w:ascii="Times New Roman" w:hAnsi="Times New Roman" w:cs="Times New Roman"/>
          <w:lang w:val="en-US"/>
        </w:rPr>
        <w:t xml:space="preserve"> linearly</w:t>
      </w:r>
      <w:r w:rsidR="00331C43">
        <w:rPr>
          <w:rFonts w:ascii="Times New Roman" w:hAnsi="Times New Roman" w:cs="Times New Roman"/>
          <w:lang w:val="en-US"/>
        </w:rPr>
        <w:t xml:space="preserve"> from 30</w:t>
      </w:r>
      <w:r w:rsidR="009E2E85">
        <w:rPr>
          <w:rFonts w:ascii="Times New Roman" w:hAnsi="Times New Roman" w:cs="Times New Roman"/>
          <w:lang w:val="en-US"/>
        </w:rPr>
        <w:t xml:space="preserve"> percent</w:t>
      </w:r>
      <w:r w:rsidR="00331C43">
        <w:rPr>
          <w:rFonts w:ascii="Times New Roman" w:hAnsi="Times New Roman" w:cs="Times New Roman"/>
          <w:lang w:val="en-US"/>
        </w:rPr>
        <w:t xml:space="preserve"> in 1960 to 10</w:t>
      </w:r>
      <w:r w:rsidR="009E2E85">
        <w:rPr>
          <w:rFonts w:ascii="Times New Roman" w:hAnsi="Times New Roman" w:cs="Times New Roman"/>
          <w:lang w:val="en-US"/>
        </w:rPr>
        <w:t xml:space="preserve"> percent</w:t>
      </w:r>
      <w:r w:rsidR="00C62258">
        <w:rPr>
          <w:rFonts w:ascii="Times New Roman" w:hAnsi="Times New Roman" w:cs="Times New Roman"/>
          <w:lang w:val="en-US"/>
        </w:rPr>
        <w:t xml:space="preserve"> in 2016</w:t>
      </w:r>
      <w:r w:rsidR="00E93B88" w:rsidRPr="00E93B88">
        <w:rPr>
          <w:rFonts w:ascii="Times New Roman" w:hAnsi="Times New Roman" w:cs="Times New Roman"/>
          <w:lang w:val="en-US"/>
        </w:rPr>
        <w:t xml:space="preserve">. </w:t>
      </w:r>
      <w:r w:rsidR="005C5123">
        <w:rPr>
          <w:rFonts w:ascii="Times New Roman" w:hAnsi="Times New Roman" w:cs="Times New Roman"/>
          <w:lang w:val="en-US"/>
        </w:rPr>
        <w:t xml:space="preserve"> </w:t>
      </w:r>
      <w:r w:rsidR="00BD3B0B">
        <w:rPr>
          <w:rFonts w:ascii="Times New Roman" w:hAnsi="Times New Roman" w:cs="Times New Roman"/>
          <w:lang w:val="en-US"/>
        </w:rPr>
        <w:t xml:space="preserve">Hence, we assume that this share </w:t>
      </w:r>
      <w:r w:rsidR="004F2CA9">
        <w:rPr>
          <w:rFonts w:ascii="Times New Roman" w:hAnsi="Times New Roman" w:cs="Times New Roman"/>
          <w:lang w:val="en-US"/>
        </w:rPr>
        <w:t xml:space="preserve">declines dramatically so that non-taxable capital income (outside of pension funds) is now more equally distributed than labor income. </w:t>
      </w:r>
      <w:r w:rsidR="00807A6B">
        <w:rPr>
          <w:rFonts w:ascii="Times New Roman" w:hAnsi="Times New Roman" w:cs="Times New Roman"/>
          <w:lang w:val="en-US"/>
        </w:rPr>
        <w:t xml:space="preserve">This assumption is therefore extreme and amounts to </w:t>
      </w:r>
      <w:r w:rsidR="00E93B88" w:rsidRPr="00E93B88">
        <w:rPr>
          <w:rFonts w:ascii="Times New Roman" w:hAnsi="Times New Roman" w:cs="Times New Roman"/>
          <w:lang w:val="en-US"/>
        </w:rPr>
        <w:t xml:space="preserve">assuming that capital income and wealth are now extremely equally distributed in the United States. </w:t>
      </w:r>
    </w:p>
    <w:p w14:paraId="41F23DA0" w14:textId="7EEDC6AD" w:rsidR="00957C42" w:rsidRDefault="00F62F96" w:rsidP="00584B7A">
      <w:pPr>
        <w:spacing w:after="120" w:line="360" w:lineRule="auto"/>
        <w:ind w:firstLine="708"/>
        <w:jc w:val="both"/>
        <w:rPr>
          <w:rFonts w:ascii="Times New Roman" w:hAnsi="Times New Roman" w:cs="Times New Roman"/>
          <w:lang w:val="en-US"/>
        </w:rPr>
      </w:pPr>
      <w:proofErr w:type="gramStart"/>
      <w:r>
        <w:rPr>
          <w:rFonts w:ascii="Times New Roman" w:hAnsi="Times New Roman" w:cs="Times New Roman"/>
          <w:lang w:val="en-US"/>
        </w:rPr>
        <w:t>Figure 4 shows that</w:t>
      </w:r>
      <w:r w:rsidR="0042446A">
        <w:rPr>
          <w:rFonts w:ascii="Times New Roman" w:hAnsi="Times New Roman" w:cs="Times New Roman"/>
          <w:lang w:val="en-US"/>
        </w:rPr>
        <w:t xml:space="preserve"> our simplified methodology combined with these two al</w:t>
      </w:r>
      <w:r w:rsidR="003011DF">
        <w:rPr>
          <w:rFonts w:ascii="Times New Roman" w:hAnsi="Times New Roman" w:cs="Times New Roman"/>
          <w:lang w:val="en-US"/>
        </w:rPr>
        <w:t>ternative assumptions reproduce</w:t>
      </w:r>
      <w:r w:rsidR="00DE2000">
        <w:rPr>
          <w:rFonts w:ascii="Times New Roman" w:hAnsi="Times New Roman" w:cs="Times New Roman"/>
          <w:lang w:val="en-US"/>
        </w:rPr>
        <w:t>s</w:t>
      </w:r>
      <w:proofErr w:type="gramEnd"/>
      <w:r w:rsidR="0042446A">
        <w:rPr>
          <w:rFonts w:ascii="Times New Roman" w:hAnsi="Times New Roman" w:cs="Times New Roman"/>
          <w:lang w:val="en-US"/>
        </w:rPr>
        <w:t xml:space="preserve"> closely the </w:t>
      </w:r>
      <w:proofErr w:type="spellStart"/>
      <w:r w:rsidR="0042446A">
        <w:rPr>
          <w:rFonts w:ascii="Times New Roman" w:hAnsi="Times New Roman" w:cs="Times New Roman"/>
          <w:lang w:val="en-US"/>
        </w:rPr>
        <w:t>Auten</w:t>
      </w:r>
      <w:proofErr w:type="spellEnd"/>
      <w:r w:rsidR="0042446A">
        <w:rPr>
          <w:rFonts w:ascii="Times New Roman" w:hAnsi="Times New Roman" w:cs="Times New Roman"/>
          <w:lang w:val="en-US"/>
        </w:rPr>
        <w:t xml:space="preserve"> and Splinter (2018) estimates both in levels and trends. </w:t>
      </w:r>
      <w:r w:rsidR="00DE2000">
        <w:rPr>
          <w:rFonts w:ascii="Times New Roman" w:hAnsi="Times New Roman" w:cs="Times New Roman"/>
          <w:lang w:val="en-US"/>
        </w:rPr>
        <w:t>However, th</w:t>
      </w:r>
      <w:r w:rsidR="00584B7A">
        <w:rPr>
          <w:rFonts w:ascii="Times New Roman" w:hAnsi="Times New Roman" w:cs="Times New Roman"/>
          <w:lang w:val="en-US"/>
        </w:rPr>
        <w:t>ese</w:t>
      </w:r>
      <w:r w:rsidR="00DE2000">
        <w:rPr>
          <w:rFonts w:ascii="Times New Roman" w:hAnsi="Times New Roman" w:cs="Times New Roman"/>
          <w:lang w:val="en-US"/>
        </w:rPr>
        <w:t xml:space="preserve"> alternative assumptions are extreme and hence unrealistic. </w:t>
      </w:r>
      <w:r w:rsidR="0072321F">
        <w:rPr>
          <w:rFonts w:ascii="Times New Roman" w:hAnsi="Times New Roman" w:cs="Times New Roman"/>
          <w:lang w:val="en-US"/>
        </w:rPr>
        <w:t xml:space="preserve">In particular, assumption 2 </w:t>
      </w:r>
      <w:r w:rsidR="00584B7A">
        <w:rPr>
          <w:rFonts w:ascii="Times New Roman" w:hAnsi="Times New Roman" w:cs="Times New Roman"/>
          <w:lang w:val="en-US"/>
        </w:rPr>
        <w:t xml:space="preserve">goes starkly against </w:t>
      </w:r>
      <w:r w:rsidR="007F5646">
        <w:rPr>
          <w:rFonts w:ascii="Times New Roman" w:hAnsi="Times New Roman" w:cs="Times New Roman"/>
          <w:lang w:val="en-US"/>
        </w:rPr>
        <w:t>a</w:t>
      </w:r>
      <w:r w:rsidR="002313E2">
        <w:rPr>
          <w:rFonts w:ascii="Times New Roman" w:hAnsi="Times New Roman" w:cs="Times New Roman"/>
          <w:lang w:val="en-US"/>
        </w:rPr>
        <w:t xml:space="preserve"> </w:t>
      </w:r>
      <w:r w:rsidR="00584B7A">
        <w:rPr>
          <w:rFonts w:ascii="Times New Roman" w:hAnsi="Times New Roman" w:cs="Times New Roman"/>
          <w:lang w:val="en-US"/>
        </w:rPr>
        <w:t>body of evidence showing</w:t>
      </w:r>
      <w:r w:rsidR="002313E2" w:rsidRPr="00E93B88">
        <w:rPr>
          <w:rFonts w:ascii="Times New Roman" w:hAnsi="Times New Roman" w:cs="Times New Roman"/>
          <w:lang w:val="en-US"/>
        </w:rPr>
        <w:t xml:space="preserve"> that the concentration of wealth</w:t>
      </w:r>
      <w:r w:rsidR="00032EEC">
        <w:rPr>
          <w:rFonts w:ascii="Times New Roman" w:hAnsi="Times New Roman" w:cs="Times New Roman"/>
          <w:lang w:val="en-US"/>
        </w:rPr>
        <w:t xml:space="preserve"> in </w:t>
      </w:r>
      <w:r w:rsidR="00032EEC">
        <w:rPr>
          <w:rFonts w:ascii="Times New Roman" w:hAnsi="Times New Roman" w:cs="Times New Roman"/>
          <w:lang w:val="en-US"/>
        </w:rPr>
        <w:lastRenderedPageBreak/>
        <w:t>the United States</w:t>
      </w:r>
      <w:r w:rsidR="002313E2" w:rsidRPr="00E93B88">
        <w:rPr>
          <w:rFonts w:ascii="Times New Roman" w:hAnsi="Times New Roman" w:cs="Times New Roman"/>
          <w:lang w:val="en-US"/>
        </w:rPr>
        <w:t xml:space="preserve"> h</w:t>
      </w:r>
      <w:r w:rsidR="002313E2">
        <w:rPr>
          <w:rFonts w:ascii="Times New Roman" w:hAnsi="Times New Roman" w:cs="Times New Roman"/>
          <w:lang w:val="en-US"/>
        </w:rPr>
        <w:t>as in fact increased</w:t>
      </w:r>
      <w:r w:rsidR="00D36A32">
        <w:rPr>
          <w:rFonts w:ascii="Times New Roman" w:hAnsi="Times New Roman" w:cs="Times New Roman"/>
          <w:lang w:val="en-US"/>
        </w:rPr>
        <w:t xml:space="preserve"> sharply</w:t>
      </w:r>
      <w:r w:rsidR="0041516C">
        <w:rPr>
          <w:rFonts w:ascii="Times New Roman" w:hAnsi="Times New Roman" w:cs="Times New Roman"/>
          <w:lang w:val="en-US"/>
        </w:rPr>
        <w:t xml:space="preserve"> (as summarized in </w:t>
      </w:r>
      <w:proofErr w:type="spellStart"/>
      <w:r w:rsidR="0041516C">
        <w:rPr>
          <w:rFonts w:ascii="Times New Roman" w:hAnsi="Times New Roman" w:cs="Times New Roman"/>
          <w:lang w:val="en-US"/>
        </w:rPr>
        <w:t>Zucman</w:t>
      </w:r>
      <w:proofErr w:type="spellEnd"/>
      <w:r w:rsidR="0041516C">
        <w:rPr>
          <w:rFonts w:ascii="Times New Roman" w:hAnsi="Times New Roman" w:cs="Times New Roman"/>
          <w:lang w:val="en-US"/>
        </w:rPr>
        <w:t xml:space="preserve"> 2019)</w:t>
      </w:r>
      <w:r w:rsidR="002313E2">
        <w:rPr>
          <w:rFonts w:ascii="Times New Roman" w:hAnsi="Times New Roman" w:cs="Times New Roman"/>
          <w:lang w:val="en-US"/>
        </w:rPr>
        <w:t xml:space="preserve">. </w:t>
      </w:r>
      <w:r w:rsidR="00711897">
        <w:rPr>
          <w:rFonts w:ascii="Times New Roman" w:hAnsi="Times New Roman" w:cs="Times New Roman"/>
          <w:lang w:val="en-US"/>
        </w:rPr>
        <w:t xml:space="preserve">As far as we can see, </w:t>
      </w:r>
      <w:proofErr w:type="spellStart"/>
      <w:r w:rsidR="00711897">
        <w:rPr>
          <w:rFonts w:ascii="Times New Roman" w:hAnsi="Times New Roman" w:cs="Times New Roman"/>
          <w:lang w:val="en-US"/>
        </w:rPr>
        <w:t>Auten</w:t>
      </w:r>
      <w:proofErr w:type="spellEnd"/>
      <w:r w:rsidR="00711897">
        <w:rPr>
          <w:rFonts w:ascii="Times New Roman" w:hAnsi="Times New Roman" w:cs="Times New Roman"/>
          <w:lang w:val="en-US"/>
        </w:rPr>
        <w:t xml:space="preserve"> and Spli</w:t>
      </w:r>
      <w:r w:rsidR="000904A7">
        <w:rPr>
          <w:rFonts w:ascii="Times New Roman" w:hAnsi="Times New Roman" w:cs="Times New Roman"/>
          <w:lang w:val="en-US"/>
        </w:rPr>
        <w:t>nter do not provide any</w:t>
      </w:r>
      <w:r w:rsidR="00EC58B6">
        <w:rPr>
          <w:rFonts w:ascii="Times New Roman" w:hAnsi="Times New Roman" w:cs="Times New Roman"/>
          <w:lang w:val="en-US"/>
        </w:rPr>
        <w:t xml:space="preserve"> </w:t>
      </w:r>
      <w:r w:rsidR="00BE3A15">
        <w:rPr>
          <w:rFonts w:ascii="Times New Roman" w:hAnsi="Times New Roman" w:cs="Times New Roman"/>
          <w:lang w:val="en-US"/>
        </w:rPr>
        <w:t>corroborating</w:t>
      </w:r>
      <w:r w:rsidR="000904A7">
        <w:rPr>
          <w:rFonts w:ascii="Times New Roman" w:hAnsi="Times New Roman" w:cs="Times New Roman"/>
          <w:lang w:val="en-US"/>
        </w:rPr>
        <w:t xml:space="preserve"> </w:t>
      </w:r>
      <w:proofErr w:type="gramStart"/>
      <w:r w:rsidR="000904A7">
        <w:rPr>
          <w:rFonts w:ascii="Times New Roman" w:hAnsi="Times New Roman" w:cs="Times New Roman"/>
          <w:lang w:val="en-US"/>
        </w:rPr>
        <w:t>evidence which</w:t>
      </w:r>
      <w:proofErr w:type="gramEnd"/>
      <w:r w:rsidR="000904A7">
        <w:rPr>
          <w:rFonts w:ascii="Times New Roman" w:hAnsi="Times New Roman" w:cs="Times New Roman"/>
          <w:lang w:val="en-US"/>
        </w:rPr>
        <w:t xml:space="preserve"> could</w:t>
      </w:r>
      <w:r w:rsidR="00711897">
        <w:rPr>
          <w:rFonts w:ascii="Times New Roman" w:hAnsi="Times New Roman" w:cs="Times New Roman"/>
          <w:lang w:val="en-US"/>
        </w:rPr>
        <w:t xml:space="preserve"> justify assumption 2, while there is ample evidence to justify assumption 1</w:t>
      </w:r>
      <w:r w:rsidR="000904A7">
        <w:rPr>
          <w:rFonts w:ascii="Times New Roman" w:hAnsi="Times New Roman" w:cs="Times New Roman"/>
          <w:lang w:val="en-US"/>
        </w:rPr>
        <w:t xml:space="preserve"> as a benchmark hypothesis</w:t>
      </w:r>
      <w:r w:rsidR="00711897">
        <w:rPr>
          <w:rFonts w:ascii="Times New Roman" w:hAnsi="Times New Roman" w:cs="Times New Roman"/>
          <w:lang w:val="en-US"/>
        </w:rPr>
        <w:t>.</w:t>
      </w:r>
    </w:p>
    <w:p w14:paraId="008FBB1B" w14:textId="0F00FD29" w:rsidR="002313E2" w:rsidRDefault="00364913" w:rsidP="005F6CF4">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T</w:t>
      </w:r>
      <w:r w:rsidR="002313E2">
        <w:rPr>
          <w:rFonts w:ascii="Times New Roman" w:hAnsi="Times New Roman" w:cs="Times New Roman"/>
          <w:lang w:val="en-US"/>
        </w:rPr>
        <w:t xml:space="preserve">he </w:t>
      </w:r>
      <w:r w:rsidR="002313E2" w:rsidRPr="00E93B88">
        <w:rPr>
          <w:rFonts w:ascii="Times New Roman" w:hAnsi="Times New Roman" w:cs="Times New Roman"/>
          <w:lang w:val="en-US"/>
        </w:rPr>
        <w:t>share</w:t>
      </w:r>
      <w:r w:rsidR="00FF101E">
        <w:rPr>
          <w:rFonts w:ascii="Times New Roman" w:hAnsi="Times New Roman" w:cs="Times New Roman"/>
          <w:lang w:val="en-US"/>
        </w:rPr>
        <w:t xml:space="preserve"> of total household wealth own</w:t>
      </w:r>
      <w:r w:rsidR="00416EC8">
        <w:rPr>
          <w:rFonts w:ascii="Times New Roman" w:hAnsi="Times New Roman" w:cs="Times New Roman"/>
          <w:lang w:val="en-US"/>
        </w:rPr>
        <w:t>ed</w:t>
      </w:r>
      <w:r w:rsidR="00FF101E">
        <w:rPr>
          <w:rFonts w:ascii="Times New Roman" w:hAnsi="Times New Roman" w:cs="Times New Roman"/>
          <w:lang w:val="en-US"/>
        </w:rPr>
        <w:t xml:space="preserve"> by the top 1</w:t>
      </w:r>
      <w:r w:rsidR="009E2E85">
        <w:rPr>
          <w:rFonts w:ascii="Times New Roman" w:hAnsi="Times New Roman" w:cs="Times New Roman"/>
          <w:lang w:val="en-US"/>
        </w:rPr>
        <w:t xml:space="preserve"> percent</w:t>
      </w:r>
      <w:r w:rsidR="00FF101E">
        <w:rPr>
          <w:rFonts w:ascii="Times New Roman" w:hAnsi="Times New Roman" w:cs="Times New Roman"/>
          <w:lang w:val="en-US"/>
        </w:rPr>
        <w:t xml:space="preserve"> of households</w:t>
      </w:r>
      <w:r w:rsidR="002313E2" w:rsidRPr="00E93B88">
        <w:rPr>
          <w:rFonts w:ascii="Times New Roman" w:hAnsi="Times New Roman" w:cs="Times New Roman"/>
          <w:lang w:val="en-US"/>
        </w:rPr>
        <w:t xml:space="preserve"> in the</w:t>
      </w:r>
      <w:r w:rsidR="00F429DC">
        <w:rPr>
          <w:rFonts w:ascii="Times New Roman" w:hAnsi="Times New Roman" w:cs="Times New Roman"/>
          <w:lang w:val="en-US"/>
        </w:rPr>
        <w:t xml:space="preserve"> Survey of Consumer Finances</w:t>
      </w:r>
      <w:r w:rsidR="002313E2" w:rsidRPr="00E93B88">
        <w:rPr>
          <w:rFonts w:ascii="Times New Roman" w:hAnsi="Times New Roman" w:cs="Times New Roman"/>
          <w:lang w:val="en-US"/>
        </w:rPr>
        <w:t xml:space="preserve"> </w:t>
      </w:r>
      <w:r w:rsidR="00F429DC">
        <w:rPr>
          <w:rFonts w:ascii="Times New Roman" w:hAnsi="Times New Roman" w:cs="Times New Roman"/>
          <w:lang w:val="en-US"/>
        </w:rPr>
        <w:t>(</w:t>
      </w:r>
      <w:r w:rsidR="002313E2" w:rsidRPr="00E93B88">
        <w:rPr>
          <w:rFonts w:ascii="Times New Roman" w:hAnsi="Times New Roman" w:cs="Times New Roman"/>
          <w:lang w:val="en-US"/>
        </w:rPr>
        <w:t>SCF</w:t>
      </w:r>
      <w:r w:rsidR="00F429DC">
        <w:rPr>
          <w:rFonts w:ascii="Times New Roman" w:hAnsi="Times New Roman" w:cs="Times New Roman"/>
          <w:lang w:val="en-US"/>
        </w:rPr>
        <w:t>)</w:t>
      </w:r>
      <w:r w:rsidR="002313E2" w:rsidRPr="00E93B88">
        <w:rPr>
          <w:rFonts w:ascii="Times New Roman" w:hAnsi="Times New Roman" w:cs="Times New Roman"/>
          <w:lang w:val="en-US"/>
        </w:rPr>
        <w:t xml:space="preserve"> (which excludes the Forb</w:t>
      </w:r>
      <w:r w:rsidR="002313E2">
        <w:rPr>
          <w:rFonts w:ascii="Times New Roman" w:hAnsi="Times New Roman" w:cs="Times New Roman"/>
          <w:lang w:val="en-US"/>
        </w:rPr>
        <w:t>es 400) has increased from 29.7</w:t>
      </w:r>
      <w:r w:rsidR="009E2E85">
        <w:rPr>
          <w:rFonts w:ascii="Times New Roman" w:hAnsi="Times New Roman" w:cs="Times New Roman"/>
          <w:lang w:val="en-US"/>
        </w:rPr>
        <w:t xml:space="preserve"> percent</w:t>
      </w:r>
      <w:r w:rsidR="002313E2">
        <w:rPr>
          <w:rFonts w:ascii="Times New Roman" w:hAnsi="Times New Roman" w:cs="Times New Roman"/>
          <w:lang w:val="en-US"/>
        </w:rPr>
        <w:t xml:space="preserve"> in 1989 to 38.8</w:t>
      </w:r>
      <w:r w:rsidR="009E2E85">
        <w:rPr>
          <w:rFonts w:ascii="Times New Roman" w:hAnsi="Times New Roman" w:cs="Times New Roman"/>
          <w:lang w:val="en-US"/>
        </w:rPr>
        <w:t xml:space="preserve"> percent</w:t>
      </w:r>
      <w:r w:rsidR="002313E2" w:rsidRPr="00E93B88">
        <w:rPr>
          <w:rFonts w:ascii="Times New Roman" w:hAnsi="Times New Roman" w:cs="Times New Roman"/>
          <w:lang w:val="en-US"/>
        </w:rPr>
        <w:t xml:space="preserve"> in 2016</w:t>
      </w:r>
      <w:r w:rsidR="002313E2">
        <w:rPr>
          <w:rFonts w:ascii="Times New Roman" w:hAnsi="Times New Roman" w:cs="Times New Roman"/>
          <w:lang w:val="en-US"/>
        </w:rPr>
        <w:t xml:space="preserve"> (Bricker et al. 2017). </w:t>
      </w:r>
      <w:r w:rsidR="002313E2" w:rsidRPr="00E93B88">
        <w:rPr>
          <w:rFonts w:ascii="Times New Roman" w:hAnsi="Times New Roman" w:cs="Times New Roman"/>
          <w:lang w:val="en-US"/>
        </w:rPr>
        <w:t>The share of wealth owned by the Forbes 400 has been multiplied by more than 3 since 1982</w:t>
      </w:r>
      <w:r w:rsidR="00FA5D44">
        <w:rPr>
          <w:rFonts w:ascii="Times New Roman" w:hAnsi="Times New Roman" w:cs="Times New Roman"/>
          <w:lang w:val="en-US"/>
        </w:rPr>
        <w:t xml:space="preserve"> (</w:t>
      </w:r>
      <w:r w:rsidR="00565546">
        <w:rPr>
          <w:rFonts w:ascii="Times New Roman" w:hAnsi="Times New Roman" w:cs="Times New Roman"/>
          <w:lang w:val="en-US"/>
        </w:rPr>
        <w:t xml:space="preserve">see </w:t>
      </w:r>
      <w:proofErr w:type="spellStart"/>
      <w:r w:rsidR="009C2C68">
        <w:rPr>
          <w:rFonts w:ascii="Times New Roman" w:hAnsi="Times New Roman" w:cs="Times New Roman"/>
          <w:lang w:val="en-US"/>
        </w:rPr>
        <w:t>Zucman</w:t>
      </w:r>
      <w:proofErr w:type="spellEnd"/>
      <w:r w:rsidR="009C2C68">
        <w:rPr>
          <w:rFonts w:ascii="Times New Roman" w:hAnsi="Times New Roman" w:cs="Times New Roman"/>
          <w:lang w:val="en-US"/>
        </w:rPr>
        <w:t xml:space="preserve"> 2019</w:t>
      </w:r>
      <w:r w:rsidR="00FA5D44">
        <w:rPr>
          <w:rFonts w:ascii="Times New Roman" w:hAnsi="Times New Roman" w:cs="Times New Roman"/>
          <w:lang w:val="en-US"/>
        </w:rPr>
        <w:t>)</w:t>
      </w:r>
      <w:r w:rsidR="00CE200F">
        <w:rPr>
          <w:rFonts w:ascii="Times New Roman" w:hAnsi="Times New Roman" w:cs="Times New Roman"/>
          <w:lang w:val="en-US"/>
        </w:rPr>
        <w:t xml:space="preserve"> growing from </w:t>
      </w:r>
      <w:r w:rsidR="003D0C6C">
        <w:rPr>
          <w:rFonts w:ascii="Times New Roman" w:hAnsi="Times New Roman" w:cs="Times New Roman"/>
          <w:lang w:val="en-US"/>
        </w:rPr>
        <w:t>less than 1</w:t>
      </w:r>
      <w:r w:rsidR="009E2E85">
        <w:rPr>
          <w:rFonts w:ascii="Times New Roman" w:hAnsi="Times New Roman" w:cs="Times New Roman"/>
          <w:lang w:val="en-US"/>
        </w:rPr>
        <w:t xml:space="preserve"> percent</w:t>
      </w:r>
      <w:r w:rsidR="003D0C6C">
        <w:rPr>
          <w:rFonts w:ascii="Times New Roman" w:hAnsi="Times New Roman" w:cs="Times New Roman"/>
          <w:lang w:val="en-US"/>
        </w:rPr>
        <w:t xml:space="preserve"> in the early 1980s to over 3</w:t>
      </w:r>
      <w:r w:rsidR="009E2E85">
        <w:rPr>
          <w:rFonts w:ascii="Times New Roman" w:hAnsi="Times New Roman" w:cs="Times New Roman"/>
          <w:lang w:val="en-US"/>
        </w:rPr>
        <w:t xml:space="preserve"> percent</w:t>
      </w:r>
      <w:r w:rsidR="003D0C6C">
        <w:rPr>
          <w:rFonts w:ascii="Times New Roman" w:hAnsi="Times New Roman" w:cs="Times New Roman"/>
          <w:lang w:val="en-US"/>
        </w:rPr>
        <w:t xml:space="preserve"> in the 2010s</w:t>
      </w:r>
      <w:r w:rsidR="002313E2" w:rsidRPr="00E93B88">
        <w:rPr>
          <w:rFonts w:ascii="Times New Roman" w:hAnsi="Times New Roman" w:cs="Times New Roman"/>
          <w:lang w:val="en-US"/>
        </w:rPr>
        <w:t xml:space="preserve">. Saez and </w:t>
      </w:r>
      <w:proofErr w:type="spellStart"/>
      <w:r w:rsidR="002313E2" w:rsidRPr="00E93B88">
        <w:rPr>
          <w:rFonts w:ascii="Times New Roman" w:hAnsi="Times New Roman" w:cs="Times New Roman"/>
          <w:lang w:val="en-US"/>
        </w:rPr>
        <w:t>Zucman</w:t>
      </w:r>
      <w:proofErr w:type="spellEnd"/>
      <w:r w:rsidR="002313E2" w:rsidRPr="00E93B88">
        <w:rPr>
          <w:rFonts w:ascii="Times New Roman" w:hAnsi="Times New Roman" w:cs="Times New Roman"/>
          <w:lang w:val="en-US"/>
        </w:rPr>
        <w:t xml:space="preserve"> </w:t>
      </w:r>
      <w:r w:rsidR="002313E2">
        <w:rPr>
          <w:rFonts w:ascii="Times New Roman" w:hAnsi="Times New Roman" w:cs="Times New Roman"/>
          <w:lang w:val="en-US"/>
        </w:rPr>
        <w:t>(</w:t>
      </w:r>
      <w:r w:rsidR="002313E2" w:rsidRPr="00E93B88">
        <w:rPr>
          <w:rFonts w:ascii="Times New Roman" w:hAnsi="Times New Roman" w:cs="Times New Roman"/>
          <w:lang w:val="en-US"/>
        </w:rPr>
        <w:t>2016</w:t>
      </w:r>
      <w:r w:rsidR="002313E2">
        <w:rPr>
          <w:rFonts w:ascii="Times New Roman" w:hAnsi="Times New Roman" w:cs="Times New Roman"/>
          <w:lang w:val="en-US"/>
        </w:rPr>
        <w:t>)</w:t>
      </w:r>
      <w:r w:rsidR="002313E2" w:rsidRPr="00E93B88">
        <w:rPr>
          <w:rFonts w:ascii="Times New Roman" w:hAnsi="Times New Roman" w:cs="Times New Roman"/>
          <w:lang w:val="en-US"/>
        </w:rPr>
        <w:t xml:space="preserve"> created wealth inequality series using the capitalization method and systematically distributing all sources of household wealth from financial accounts. They also find a large in</w:t>
      </w:r>
      <w:r w:rsidR="000A10F7">
        <w:rPr>
          <w:rFonts w:ascii="Times New Roman" w:hAnsi="Times New Roman" w:cs="Times New Roman"/>
          <w:lang w:val="en-US"/>
        </w:rPr>
        <w:t>crease in wealth concentration.</w:t>
      </w:r>
      <w:r w:rsidR="008874AF">
        <w:rPr>
          <w:rFonts w:ascii="Times New Roman" w:hAnsi="Times New Roman" w:cs="Times New Roman"/>
          <w:lang w:val="en-US"/>
        </w:rPr>
        <w:t xml:space="preserve"> These findings are </w:t>
      </w:r>
      <w:r w:rsidR="00C31419">
        <w:rPr>
          <w:rFonts w:ascii="Times New Roman" w:hAnsi="Times New Roman" w:cs="Times New Roman"/>
          <w:lang w:val="en-US"/>
        </w:rPr>
        <w:t xml:space="preserve">illustrated </w:t>
      </w:r>
      <w:r w:rsidR="008874AF">
        <w:rPr>
          <w:rFonts w:ascii="Times New Roman" w:hAnsi="Times New Roman" w:cs="Times New Roman"/>
          <w:lang w:val="en-US"/>
        </w:rPr>
        <w:t>in Figure 5</w:t>
      </w:r>
      <w:r w:rsidR="00407814">
        <w:rPr>
          <w:rFonts w:ascii="Times New Roman" w:hAnsi="Times New Roman" w:cs="Times New Roman"/>
          <w:lang w:val="en-US"/>
        </w:rPr>
        <w:t xml:space="preserve"> (reproduced from </w:t>
      </w:r>
      <w:proofErr w:type="spellStart"/>
      <w:r w:rsidR="00407814">
        <w:rPr>
          <w:rFonts w:ascii="Times New Roman" w:hAnsi="Times New Roman" w:cs="Times New Roman"/>
          <w:lang w:val="en-US"/>
        </w:rPr>
        <w:t>Zucman</w:t>
      </w:r>
      <w:proofErr w:type="spellEnd"/>
      <w:r w:rsidR="00407814">
        <w:rPr>
          <w:rFonts w:ascii="Times New Roman" w:hAnsi="Times New Roman" w:cs="Times New Roman"/>
          <w:lang w:val="en-US"/>
        </w:rPr>
        <w:t>, 2019)</w:t>
      </w:r>
      <w:r w:rsidR="008874AF">
        <w:rPr>
          <w:rFonts w:ascii="Times New Roman" w:hAnsi="Times New Roman" w:cs="Times New Roman"/>
          <w:lang w:val="en-US"/>
        </w:rPr>
        <w:t xml:space="preserve">. </w:t>
      </w:r>
      <w:r w:rsidR="00C72B8C">
        <w:rPr>
          <w:rFonts w:ascii="Times New Roman" w:hAnsi="Times New Roman" w:cs="Times New Roman"/>
          <w:lang w:val="en-US"/>
        </w:rPr>
        <w:t>Figure 5</w:t>
      </w:r>
      <w:r w:rsidR="008874AF">
        <w:rPr>
          <w:rFonts w:ascii="Times New Roman" w:hAnsi="Times New Roman" w:cs="Times New Roman"/>
          <w:lang w:val="en-US"/>
        </w:rPr>
        <w:t xml:space="preserve"> displays the top 1</w:t>
      </w:r>
      <w:r w:rsidR="009E2E85">
        <w:rPr>
          <w:rFonts w:ascii="Times New Roman" w:hAnsi="Times New Roman" w:cs="Times New Roman"/>
          <w:lang w:val="en-US"/>
        </w:rPr>
        <w:t xml:space="preserve"> percent</w:t>
      </w:r>
      <w:r w:rsidR="008874AF">
        <w:rPr>
          <w:rFonts w:ascii="Times New Roman" w:hAnsi="Times New Roman" w:cs="Times New Roman"/>
          <w:lang w:val="en-US"/>
        </w:rPr>
        <w:t xml:space="preserve"> wealth share </w:t>
      </w:r>
      <w:r w:rsidR="00E8158E">
        <w:rPr>
          <w:rFonts w:ascii="Times New Roman" w:hAnsi="Times New Roman" w:cs="Times New Roman"/>
          <w:lang w:val="en-US"/>
        </w:rPr>
        <w:t xml:space="preserve">estimates </w:t>
      </w:r>
      <w:r w:rsidR="00CA6FD9">
        <w:rPr>
          <w:rFonts w:ascii="Times New Roman" w:hAnsi="Times New Roman" w:cs="Times New Roman"/>
          <w:lang w:val="en-US"/>
        </w:rPr>
        <w:t xml:space="preserve">based on Saez and </w:t>
      </w:r>
      <w:proofErr w:type="spellStart"/>
      <w:r w:rsidR="00CA6FD9">
        <w:rPr>
          <w:rFonts w:ascii="Times New Roman" w:hAnsi="Times New Roman" w:cs="Times New Roman"/>
          <w:lang w:val="en-US"/>
        </w:rPr>
        <w:t>Zucman</w:t>
      </w:r>
      <w:proofErr w:type="spellEnd"/>
      <w:r w:rsidR="00CA6FD9">
        <w:rPr>
          <w:rFonts w:ascii="Times New Roman" w:hAnsi="Times New Roman" w:cs="Times New Roman"/>
          <w:lang w:val="en-US"/>
        </w:rPr>
        <w:t xml:space="preserve"> (2016) series</w:t>
      </w:r>
      <w:r w:rsidR="00E8158E">
        <w:rPr>
          <w:rFonts w:ascii="Times New Roman" w:hAnsi="Times New Roman" w:cs="Times New Roman"/>
          <w:lang w:val="en-US"/>
        </w:rPr>
        <w:t xml:space="preserve"> capitalizing income tax returns </w:t>
      </w:r>
      <w:r w:rsidR="00F429DC">
        <w:rPr>
          <w:rFonts w:ascii="Times New Roman" w:hAnsi="Times New Roman" w:cs="Times New Roman"/>
          <w:lang w:val="en-US"/>
        </w:rPr>
        <w:t>and the top 1</w:t>
      </w:r>
      <w:r w:rsidR="009E2E85">
        <w:rPr>
          <w:rFonts w:ascii="Times New Roman" w:hAnsi="Times New Roman" w:cs="Times New Roman"/>
          <w:lang w:val="en-US"/>
        </w:rPr>
        <w:t xml:space="preserve"> percent</w:t>
      </w:r>
      <w:r w:rsidR="00F429DC">
        <w:rPr>
          <w:rFonts w:ascii="Times New Roman" w:hAnsi="Times New Roman" w:cs="Times New Roman"/>
          <w:lang w:val="en-US"/>
        </w:rPr>
        <w:t xml:space="preserve"> wealth share </w:t>
      </w:r>
      <w:r w:rsidR="00CA190E">
        <w:rPr>
          <w:rFonts w:ascii="Times New Roman" w:hAnsi="Times New Roman" w:cs="Times New Roman"/>
          <w:lang w:val="en-US"/>
        </w:rPr>
        <w:t>combining</w:t>
      </w:r>
      <w:r w:rsidR="00F429DC">
        <w:rPr>
          <w:rFonts w:ascii="Times New Roman" w:hAnsi="Times New Roman" w:cs="Times New Roman"/>
          <w:lang w:val="en-US"/>
        </w:rPr>
        <w:t xml:space="preserve"> the </w:t>
      </w:r>
      <w:r w:rsidR="00C16F6E">
        <w:rPr>
          <w:rFonts w:ascii="Times New Roman" w:hAnsi="Times New Roman" w:cs="Times New Roman"/>
          <w:lang w:val="en-US"/>
        </w:rPr>
        <w:t xml:space="preserve">official </w:t>
      </w:r>
      <w:r w:rsidR="00F10FED">
        <w:rPr>
          <w:rFonts w:ascii="Times New Roman" w:hAnsi="Times New Roman" w:cs="Times New Roman"/>
          <w:lang w:val="en-US"/>
        </w:rPr>
        <w:t xml:space="preserve">SCF estimates of Bricker et al. (2017) and </w:t>
      </w:r>
      <w:r w:rsidR="00056C7C">
        <w:rPr>
          <w:rFonts w:ascii="Times New Roman" w:hAnsi="Times New Roman" w:cs="Times New Roman"/>
          <w:lang w:val="en-US"/>
        </w:rPr>
        <w:t>the Forbes 400 wealth share (as the Forbes 400 are excluded by definition from the SCF).</w:t>
      </w:r>
      <w:r w:rsidR="000A52D6">
        <w:rPr>
          <w:rFonts w:ascii="Times New Roman" w:hAnsi="Times New Roman" w:cs="Times New Roman"/>
          <w:lang w:val="en-US"/>
        </w:rPr>
        <w:t xml:space="preserve"> Both series </w:t>
      </w:r>
      <w:r w:rsidR="00823822">
        <w:rPr>
          <w:rFonts w:ascii="Times New Roman" w:hAnsi="Times New Roman" w:cs="Times New Roman"/>
          <w:lang w:val="en-US"/>
        </w:rPr>
        <w:t>show a sharp income in the top 1</w:t>
      </w:r>
      <w:r w:rsidR="009E2E85">
        <w:rPr>
          <w:rFonts w:ascii="Times New Roman" w:hAnsi="Times New Roman" w:cs="Times New Roman"/>
          <w:lang w:val="en-US"/>
        </w:rPr>
        <w:t xml:space="preserve"> percent</w:t>
      </w:r>
      <w:r w:rsidR="00823822">
        <w:rPr>
          <w:rFonts w:ascii="Times New Roman" w:hAnsi="Times New Roman" w:cs="Times New Roman"/>
          <w:lang w:val="en-US"/>
        </w:rPr>
        <w:t xml:space="preserve"> wealth share. </w:t>
      </w:r>
      <w:r w:rsidR="0019261B">
        <w:rPr>
          <w:rFonts w:ascii="Times New Roman" w:hAnsi="Times New Roman" w:cs="Times New Roman"/>
          <w:lang w:val="en-US"/>
        </w:rPr>
        <w:t>In 2016, both series show that about 40</w:t>
      </w:r>
      <w:r w:rsidR="009E2E85">
        <w:rPr>
          <w:rFonts w:ascii="Times New Roman" w:hAnsi="Times New Roman" w:cs="Times New Roman"/>
          <w:lang w:val="en-US"/>
        </w:rPr>
        <w:t xml:space="preserve"> percent</w:t>
      </w:r>
      <w:r w:rsidR="0019261B">
        <w:rPr>
          <w:rFonts w:ascii="Times New Roman" w:hAnsi="Times New Roman" w:cs="Times New Roman"/>
          <w:lang w:val="en-US"/>
        </w:rPr>
        <w:t xml:space="preserve"> of total househol</w:t>
      </w:r>
      <w:r w:rsidR="008A77EE">
        <w:rPr>
          <w:rFonts w:ascii="Times New Roman" w:hAnsi="Times New Roman" w:cs="Times New Roman"/>
          <w:lang w:val="en-US"/>
        </w:rPr>
        <w:t>d wealth is owned by the top 1</w:t>
      </w:r>
      <w:r w:rsidR="009E2E85">
        <w:rPr>
          <w:rFonts w:ascii="Times New Roman" w:hAnsi="Times New Roman" w:cs="Times New Roman"/>
          <w:lang w:val="en-US"/>
        </w:rPr>
        <w:t xml:space="preserve"> percent</w:t>
      </w:r>
      <w:r w:rsidR="008A77EE">
        <w:rPr>
          <w:rFonts w:ascii="Times New Roman" w:hAnsi="Times New Roman" w:cs="Times New Roman"/>
          <w:lang w:val="en-US"/>
        </w:rPr>
        <w:t xml:space="preserve">. The SCF estimates for 2016 show </w:t>
      </w:r>
      <w:r w:rsidR="005B255D">
        <w:rPr>
          <w:rFonts w:ascii="Times New Roman" w:hAnsi="Times New Roman" w:cs="Times New Roman"/>
          <w:lang w:val="en-US"/>
        </w:rPr>
        <w:t>a</w:t>
      </w:r>
      <w:r w:rsidR="008A77EE">
        <w:rPr>
          <w:rFonts w:ascii="Times New Roman" w:hAnsi="Times New Roman" w:cs="Times New Roman"/>
          <w:lang w:val="en-US"/>
        </w:rPr>
        <w:t xml:space="preserve"> slight</w:t>
      </w:r>
      <w:r w:rsidR="005B255D">
        <w:rPr>
          <w:rFonts w:ascii="Times New Roman" w:hAnsi="Times New Roman" w:cs="Times New Roman"/>
          <w:lang w:val="en-US"/>
        </w:rPr>
        <w:t>ly higher top 1</w:t>
      </w:r>
      <w:r w:rsidR="009E2E85">
        <w:rPr>
          <w:rFonts w:ascii="Times New Roman" w:hAnsi="Times New Roman" w:cs="Times New Roman"/>
          <w:lang w:val="en-US"/>
        </w:rPr>
        <w:t xml:space="preserve"> percent</w:t>
      </w:r>
      <w:r w:rsidR="005B255D">
        <w:rPr>
          <w:rFonts w:ascii="Times New Roman" w:hAnsi="Times New Roman" w:cs="Times New Roman"/>
          <w:lang w:val="en-US"/>
        </w:rPr>
        <w:t xml:space="preserve"> wealth share (40.7</w:t>
      </w:r>
      <w:r w:rsidR="009E2E85">
        <w:rPr>
          <w:rFonts w:ascii="Times New Roman" w:hAnsi="Times New Roman" w:cs="Times New Roman"/>
          <w:lang w:val="en-US"/>
        </w:rPr>
        <w:t xml:space="preserve"> percent</w:t>
      </w:r>
      <w:r w:rsidR="005B255D">
        <w:rPr>
          <w:rFonts w:ascii="Times New Roman" w:hAnsi="Times New Roman" w:cs="Times New Roman"/>
          <w:lang w:val="en-US"/>
        </w:rPr>
        <w:t>)</w:t>
      </w:r>
      <w:r w:rsidR="008A77EE">
        <w:rPr>
          <w:rFonts w:ascii="Times New Roman" w:hAnsi="Times New Roman" w:cs="Times New Roman"/>
          <w:lang w:val="en-US"/>
        </w:rPr>
        <w:t xml:space="preserve"> the</w:t>
      </w:r>
      <w:r w:rsidR="00E30E2B">
        <w:rPr>
          <w:rFonts w:ascii="Times New Roman" w:hAnsi="Times New Roman" w:cs="Times New Roman"/>
          <w:lang w:val="en-US"/>
        </w:rPr>
        <w:t xml:space="preserve"> Saez-</w:t>
      </w:r>
      <w:proofErr w:type="spellStart"/>
      <w:r w:rsidR="00E30E2B">
        <w:rPr>
          <w:rFonts w:ascii="Times New Roman" w:hAnsi="Times New Roman" w:cs="Times New Roman"/>
          <w:lang w:val="en-US"/>
        </w:rPr>
        <w:t>Zucman</w:t>
      </w:r>
      <w:proofErr w:type="spellEnd"/>
      <w:r w:rsidR="008A77EE">
        <w:rPr>
          <w:rFonts w:ascii="Times New Roman" w:hAnsi="Times New Roman" w:cs="Times New Roman"/>
          <w:lang w:val="en-US"/>
        </w:rPr>
        <w:t xml:space="preserve"> capitaliz</w:t>
      </w:r>
      <w:r w:rsidR="00366EC4">
        <w:rPr>
          <w:rFonts w:ascii="Times New Roman" w:hAnsi="Times New Roman" w:cs="Times New Roman"/>
          <w:lang w:val="en-US"/>
        </w:rPr>
        <w:t>ed income estimates (38.9</w:t>
      </w:r>
      <w:r w:rsidR="009E2E85">
        <w:rPr>
          <w:rFonts w:ascii="Times New Roman" w:hAnsi="Times New Roman" w:cs="Times New Roman"/>
          <w:lang w:val="en-US"/>
        </w:rPr>
        <w:t xml:space="preserve"> percent</w:t>
      </w:r>
      <w:r w:rsidR="00366EC4">
        <w:rPr>
          <w:rFonts w:ascii="Times New Roman" w:hAnsi="Times New Roman" w:cs="Times New Roman"/>
          <w:lang w:val="en-US"/>
        </w:rPr>
        <w:t>).</w:t>
      </w:r>
      <w:r w:rsidR="005F6CF4">
        <w:rPr>
          <w:rFonts w:ascii="Times New Roman" w:hAnsi="Times New Roman" w:cs="Times New Roman"/>
          <w:lang w:val="en-US"/>
        </w:rPr>
        <w:t xml:space="preserve"> These 2016 estimates are </w:t>
      </w:r>
      <w:r w:rsidR="0019261B">
        <w:rPr>
          <w:rFonts w:ascii="Times New Roman" w:hAnsi="Times New Roman" w:cs="Times New Roman"/>
          <w:lang w:val="en-US"/>
        </w:rPr>
        <w:t>up from 30</w:t>
      </w:r>
      <w:r w:rsidR="00691DA6">
        <w:rPr>
          <w:rFonts w:ascii="Times New Roman" w:hAnsi="Times New Roman" w:cs="Times New Roman"/>
          <w:lang w:val="en-US"/>
        </w:rPr>
        <w:t>.8</w:t>
      </w:r>
      <w:r w:rsidR="009E2E85">
        <w:rPr>
          <w:rFonts w:ascii="Times New Roman" w:hAnsi="Times New Roman" w:cs="Times New Roman"/>
          <w:lang w:val="en-US"/>
        </w:rPr>
        <w:t xml:space="preserve"> percent</w:t>
      </w:r>
      <w:r w:rsidR="0019261B">
        <w:rPr>
          <w:rFonts w:ascii="Times New Roman" w:hAnsi="Times New Roman" w:cs="Times New Roman"/>
          <w:lang w:val="en-US"/>
        </w:rPr>
        <w:t xml:space="preserve"> in 1989</w:t>
      </w:r>
      <w:r w:rsidR="00AE5EF7">
        <w:rPr>
          <w:rFonts w:ascii="Times New Roman" w:hAnsi="Times New Roman" w:cs="Times New Roman"/>
          <w:lang w:val="en-US"/>
        </w:rPr>
        <w:t xml:space="preserve"> using the SCF series</w:t>
      </w:r>
      <w:r w:rsidR="0019261B">
        <w:rPr>
          <w:rFonts w:ascii="Times New Roman" w:hAnsi="Times New Roman" w:cs="Times New Roman"/>
          <w:lang w:val="en-US"/>
        </w:rPr>
        <w:t xml:space="preserve"> and up from </w:t>
      </w:r>
      <w:r w:rsidR="00BD5113">
        <w:rPr>
          <w:rFonts w:ascii="Times New Roman" w:hAnsi="Times New Roman" w:cs="Times New Roman"/>
          <w:lang w:val="en-US"/>
        </w:rPr>
        <w:t>23.6</w:t>
      </w:r>
      <w:r w:rsidR="009E2E85">
        <w:rPr>
          <w:rFonts w:ascii="Times New Roman" w:hAnsi="Times New Roman" w:cs="Times New Roman"/>
          <w:lang w:val="en-US"/>
        </w:rPr>
        <w:t xml:space="preserve"> percent</w:t>
      </w:r>
      <w:r w:rsidR="00E51228">
        <w:rPr>
          <w:rFonts w:ascii="Times New Roman" w:hAnsi="Times New Roman" w:cs="Times New Roman"/>
          <w:lang w:val="en-US"/>
        </w:rPr>
        <w:t xml:space="preserve"> in 1980 using the capitalized income tax series. </w:t>
      </w:r>
    </w:p>
    <w:p w14:paraId="753C8670" w14:textId="1200710C" w:rsidR="0045217A" w:rsidRPr="00E93B88" w:rsidRDefault="0045217A" w:rsidP="00EC0331">
      <w:pPr>
        <w:spacing w:after="120" w:line="360" w:lineRule="auto"/>
        <w:ind w:firstLine="708"/>
        <w:jc w:val="both"/>
        <w:rPr>
          <w:rFonts w:ascii="Times New Roman" w:hAnsi="Times New Roman" w:cs="Times New Roman"/>
          <w:lang w:val="en-US"/>
        </w:rPr>
      </w:pPr>
      <w:r>
        <w:rPr>
          <w:rFonts w:ascii="Times New Roman" w:hAnsi="Times New Roman" w:cs="Times New Roman"/>
          <w:lang w:val="en-US"/>
        </w:rPr>
        <w:t xml:space="preserve">Therefore, </w:t>
      </w:r>
      <w:r w:rsidR="002B6A7B">
        <w:rPr>
          <w:rFonts w:ascii="Times New Roman" w:hAnsi="Times New Roman" w:cs="Times New Roman"/>
          <w:lang w:val="en-US"/>
        </w:rPr>
        <w:t xml:space="preserve">our simplified methodology can show very simply that </w:t>
      </w:r>
      <w:r w:rsidR="000D605E">
        <w:rPr>
          <w:rFonts w:ascii="Times New Roman" w:hAnsi="Times New Roman" w:cs="Times New Roman"/>
          <w:lang w:val="en-US"/>
        </w:rPr>
        <w:t xml:space="preserve">one needs extreme and hence unrealistic assumptions on equalization of income components not in fiscal income to </w:t>
      </w:r>
      <w:r w:rsidR="004C3FF2">
        <w:rPr>
          <w:rFonts w:ascii="Times New Roman" w:hAnsi="Times New Roman" w:cs="Times New Roman"/>
          <w:lang w:val="en-US"/>
        </w:rPr>
        <w:t>reverse the large increase in income concentration obtained from fiscal income series</w:t>
      </w:r>
      <w:r w:rsidR="0095638D">
        <w:rPr>
          <w:rFonts w:ascii="Times New Roman" w:hAnsi="Times New Roman" w:cs="Times New Roman"/>
          <w:lang w:val="en-US"/>
        </w:rPr>
        <w:t xml:space="preserve"> of </w:t>
      </w:r>
      <w:proofErr w:type="spellStart"/>
      <w:r w:rsidR="0095638D">
        <w:rPr>
          <w:rFonts w:ascii="Times New Roman" w:hAnsi="Times New Roman" w:cs="Times New Roman"/>
          <w:lang w:val="en-US"/>
        </w:rPr>
        <w:t>Piketty</w:t>
      </w:r>
      <w:proofErr w:type="spellEnd"/>
      <w:r w:rsidR="0095638D">
        <w:rPr>
          <w:rFonts w:ascii="Times New Roman" w:hAnsi="Times New Roman" w:cs="Times New Roman"/>
          <w:lang w:val="en-US"/>
        </w:rPr>
        <w:t xml:space="preserve"> and Saez (2003)</w:t>
      </w:r>
      <w:r w:rsidR="004C3FF2">
        <w:rPr>
          <w:rFonts w:ascii="Times New Roman" w:hAnsi="Times New Roman" w:cs="Times New Roman"/>
          <w:lang w:val="en-US"/>
        </w:rPr>
        <w:t>.</w:t>
      </w:r>
      <w:r w:rsidR="0095638D">
        <w:rPr>
          <w:rFonts w:ascii="Times New Roman" w:hAnsi="Times New Roman" w:cs="Times New Roman"/>
          <w:lang w:val="en-US"/>
        </w:rPr>
        <w:t xml:space="preserve"> </w:t>
      </w:r>
      <w:r w:rsidR="004C3FF2">
        <w:rPr>
          <w:rFonts w:ascii="Times New Roman" w:hAnsi="Times New Roman" w:cs="Times New Roman"/>
          <w:lang w:val="en-US"/>
        </w:rPr>
        <w:t xml:space="preserve"> </w:t>
      </w:r>
    </w:p>
    <w:p w14:paraId="66A425A8" w14:textId="77777777" w:rsidR="002313E2" w:rsidRDefault="002313E2" w:rsidP="00E93B88">
      <w:pPr>
        <w:spacing w:after="120" w:line="360" w:lineRule="auto"/>
        <w:jc w:val="both"/>
        <w:rPr>
          <w:rFonts w:ascii="Times New Roman" w:hAnsi="Times New Roman" w:cs="Times New Roman"/>
          <w:lang w:val="en-US"/>
        </w:rPr>
      </w:pPr>
    </w:p>
    <w:p w14:paraId="46BE1A66" w14:textId="00A61B3E" w:rsidR="00CC0DB3" w:rsidRPr="00E74E69" w:rsidRDefault="00E74E69" w:rsidP="00E74E69">
      <w:pPr>
        <w:rPr>
          <w:rFonts w:ascii="Times New Roman" w:hAnsi="Times New Roman" w:cs="Times New Roman"/>
          <w:lang w:val="en-US"/>
        </w:rPr>
      </w:pPr>
      <w:r>
        <w:rPr>
          <w:rFonts w:ascii="Times New Roman" w:hAnsi="Times New Roman" w:cs="Times New Roman"/>
          <w:lang w:val="en-US"/>
        </w:rPr>
        <w:br w:type="page"/>
      </w:r>
    </w:p>
    <w:p w14:paraId="09A37BAF" w14:textId="5232AAA5" w:rsidR="005F6929" w:rsidRPr="004D5857" w:rsidRDefault="0074120F" w:rsidP="009E2E85">
      <w:pPr>
        <w:spacing w:after="120" w:line="360" w:lineRule="auto"/>
        <w:jc w:val="both"/>
        <w:outlineLvl w:val="0"/>
        <w:rPr>
          <w:rFonts w:ascii="Times New Roman" w:hAnsi="Times New Roman" w:cs="Times New Roman"/>
          <w:b/>
          <w:sz w:val="28"/>
          <w:lang w:val="en-US"/>
        </w:rPr>
      </w:pPr>
      <w:r w:rsidRPr="004D5857">
        <w:rPr>
          <w:rFonts w:ascii="Times New Roman" w:hAnsi="Times New Roman" w:cs="Times New Roman"/>
          <w:b/>
          <w:sz w:val="28"/>
          <w:lang w:val="en-US"/>
        </w:rPr>
        <w:lastRenderedPageBreak/>
        <w:t>References</w:t>
      </w:r>
    </w:p>
    <w:p w14:paraId="5F4DE43A" w14:textId="77777777" w:rsidR="001508F5" w:rsidRPr="004D5857" w:rsidRDefault="001508F5" w:rsidP="00E11D35">
      <w:pPr>
        <w:spacing w:after="120" w:line="360" w:lineRule="auto"/>
        <w:jc w:val="both"/>
        <w:rPr>
          <w:rFonts w:ascii="Times New Roman" w:hAnsi="Times New Roman" w:cs="Times New Roman"/>
          <w:lang w:val="en-US"/>
        </w:rPr>
      </w:pPr>
      <w:proofErr w:type="spellStart"/>
      <w:r w:rsidRPr="00422AF9">
        <w:rPr>
          <w:rFonts w:ascii="Times New Roman" w:hAnsi="Times New Roman" w:cs="Times New Roman"/>
          <w:b/>
          <w:lang w:val="en-US"/>
        </w:rPr>
        <w:t>Alvaredo</w:t>
      </w:r>
      <w:proofErr w:type="spellEnd"/>
      <w:r w:rsidRPr="00422AF9">
        <w:rPr>
          <w:rFonts w:ascii="Times New Roman" w:hAnsi="Times New Roman" w:cs="Times New Roman"/>
          <w:b/>
          <w:lang w:val="en-US"/>
        </w:rPr>
        <w:t xml:space="preserve">, </w:t>
      </w:r>
      <w:proofErr w:type="spellStart"/>
      <w:r w:rsidRPr="00422AF9">
        <w:rPr>
          <w:rFonts w:ascii="Times New Roman" w:hAnsi="Times New Roman" w:cs="Times New Roman"/>
          <w:b/>
          <w:lang w:val="en-US"/>
        </w:rPr>
        <w:t>Facundo</w:t>
      </w:r>
      <w:proofErr w:type="spellEnd"/>
      <w:r w:rsidRPr="00422AF9">
        <w:rPr>
          <w:rFonts w:ascii="Times New Roman" w:hAnsi="Times New Roman" w:cs="Times New Roman"/>
          <w:b/>
          <w:lang w:val="en-US"/>
        </w:rPr>
        <w:t xml:space="preserve">, Anthony B. Atkinson, Lucas Chancel, Thomas </w:t>
      </w:r>
      <w:proofErr w:type="spellStart"/>
      <w:r w:rsidRPr="00422AF9">
        <w:rPr>
          <w:rFonts w:ascii="Times New Roman" w:hAnsi="Times New Roman" w:cs="Times New Roman"/>
          <w:b/>
          <w:lang w:val="en-US"/>
        </w:rPr>
        <w:t>Piketty</w:t>
      </w:r>
      <w:proofErr w:type="spellEnd"/>
      <w:r w:rsidRPr="00422AF9">
        <w:rPr>
          <w:rFonts w:ascii="Times New Roman" w:hAnsi="Times New Roman" w:cs="Times New Roman"/>
          <w:b/>
          <w:lang w:val="en-US"/>
        </w:rPr>
        <w:t xml:space="preserve">, Emmanuel Saez, and Gabriel </w:t>
      </w:r>
      <w:proofErr w:type="spellStart"/>
      <w:r w:rsidRPr="00422AF9">
        <w:rPr>
          <w:rFonts w:ascii="Times New Roman" w:hAnsi="Times New Roman" w:cs="Times New Roman"/>
          <w:b/>
          <w:lang w:val="en-US"/>
        </w:rPr>
        <w:t>Zucman</w:t>
      </w:r>
      <w:proofErr w:type="spellEnd"/>
      <w:r w:rsidRPr="00422AF9">
        <w:rPr>
          <w:rFonts w:ascii="Times New Roman" w:hAnsi="Times New Roman" w:cs="Times New Roman"/>
          <w:b/>
          <w:lang w:val="en-US"/>
        </w:rPr>
        <w:t>.</w:t>
      </w:r>
      <w:r w:rsidRPr="004D5857">
        <w:rPr>
          <w:rFonts w:ascii="Times New Roman" w:hAnsi="Times New Roman" w:cs="Times New Roman"/>
          <w:lang w:val="en-US"/>
        </w:rPr>
        <w:t xml:space="preserve"> 2016. “Distributional National Accounts (DINA) Guidelines: Concepts and Methods used in </w:t>
      </w:r>
      <w:proofErr w:type="spellStart"/>
      <w:r w:rsidRPr="004D5857">
        <w:rPr>
          <w:rFonts w:ascii="Times New Roman" w:hAnsi="Times New Roman" w:cs="Times New Roman"/>
          <w:lang w:val="en-US"/>
        </w:rPr>
        <w:t>WID.world</w:t>
      </w:r>
      <w:proofErr w:type="spellEnd"/>
      <w:r w:rsidRPr="004D5857">
        <w:rPr>
          <w:rFonts w:ascii="Times New Roman" w:hAnsi="Times New Roman" w:cs="Times New Roman"/>
          <w:lang w:val="en-US"/>
        </w:rPr>
        <w:t xml:space="preserve">.” </w:t>
      </w:r>
      <w:proofErr w:type="spellStart"/>
      <w:proofErr w:type="gramStart"/>
      <w:r w:rsidRPr="004D5857">
        <w:rPr>
          <w:rFonts w:ascii="Times New Roman" w:hAnsi="Times New Roman" w:cs="Times New Roman"/>
          <w:lang w:val="en-US"/>
        </w:rPr>
        <w:t>WID.world</w:t>
      </w:r>
      <w:proofErr w:type="spellEnd"/>
      <w:r w:rsidRPr="004D5857">
        <w:rPr>
          <w:rFonts w:ascii="Times New Roman" w:hAnsi="Times New Roman" w:cs="Times New Roman"/>
          <w:lang w:val="en-US"/>
        </w:rPr>
        <w:t xml:space="preserve"> Working Paper 2016/1.</w:t>
      </w:r>
      <w:proofErr w:type="gramEnd"/>
    </w:p>
    <w:p w14:paraId="4A397503" w14:textId="59AE7D8A" w:rsidR="001508F5" w:rsidRDefault="001508F5" w:rsidP="00E11D35">
      <w:pPr>
        <w:spacing w:after="120" w:line="360" w:lineRule="auto"/>
        <w:jc w:val="both"/>
        <w:rPr>
          <w:rStyle w:val="Hyperlink"/>
          <w:rFonts w:ascii="Times New Roman" w:hAnsi="Times New Roman" w:cs="Times New Roman"/>
          <w:lang w:val="en-US"/>
        </w:rPr>
      </w:pPr>
      <w:proofErr w:type="spellStart"/>
      <w:r w:rsidRPr="00422AF9">
        <w:rPr>
          <w:rFonts w:ascii="Times New Roman" w:hAnsi="Times New Roman" w:cs="Times New Roman"/>
          <w:b/>
          <w:lang w:val="en-US"/>
        </w:rPr>
        <w:t>Alvaredo</w:t>
      </w:r>
      <w:proofErr w:type="spellEnd"/>
      <w:r w:rsidRPr="00422AF9">
        <w:rPr>
          <w:rFonts w:ascii="Times New Roman" w:hAnsi="Times New Roman" w:cs="Times New Roman"/>
          <w:b/>
          <w:lang w:val="en-US"/>
        </w:rPr>
        <w:t xml:space="preserve">, </w:t>
      </w:r>
      <w:proofErr w:type="spellStart"/>
      <w:r w:rsidRPr="00422AF9">
        <w:rPr>
          <w:rFonts w:ascii="Times New Roman" w:hAnsi="Times New Roman" w:cs="Times New Roman"/>
          <w:b/>
          <w:lang w:val="en-US"/>
        </w:rPr>
        <w:t>Facundo</w:t>
      </w:r>
      <w:proofErr w:type="spellEnd"/>
      <w:r w:rsidRPr="00422AF9">
        <w:rPr>
          <w:rFonts w:ascii="Times New Roman" w:hAnsi="Times New Roman" w:cs="Times New Roman"/>
          <w:b/>
          <w:lang w:val="en-US"/>
        </w:rPr>
        <w:t xml:space="preserve">, Lucas Chancel, Thomas </w:t>
      </w:r>
      <w:proofErr w:type="spellStart"/>
      <w:r w:rsidRPr="00422AF9">
        <w:rPr>
          <w:rFonts w:ascii="Times New Roman" w:hAnsi="Times New Roman" w:cs="Times New Roman"/>
          <w:b/>
          <w:lang w:val="en-US"/>
        </w:rPr>
        <w:t>Piketty</w:t>
      </w:r>
      <w:proofErr w:type="spellEnd"/>
      <w:r w:rsidRPr="00422AF9">
        <w:rPr>
          <w:rFonts w:ascii="Times New Roman" w:hAnsi="Times New Roman" w:cs="Times New Roman"/>
          <w:b/>
          <w:lang w:val="en-US"/>
        </w:rPr>
        <w:t xml:space="preserve">, Emmanuel Saez, and Gabriel </w:t>
      </w:r>
      <w:proofErr w:type="spellStart"/>
      <w:r w:rsidRPr="00422AF9">
        <w:rPr>
          <w:rFonts w:ascii="Times New Roman" w:hAnsi="Times New Roman" w:cs="Times New Roman"/>
          <w:b/>
          <w:lang w:val="en-US"/>
        </w:rPr>
        <w:t>Zucman</w:t>
      </w:r>
      <w:proofErr w:type="spellEnd"/>
      <w:r w:rsidRPr="00422AF9">
        <w:rPr>
          <w:rFonts w:ascii="Times New Roman" w:hAnsi="Times New Roman" w:cs="Times New Roman"/>
          <w:b/>
          <w:lang w:val="en-US"/>
        </w:rPr>
        <w:t>.</w:t>
      </w:r>
      <w:r w:rsidRPr="004D5857">
        <w:rPr>
          <w:rFonts w:ascii="Times New Roman" w:hAnsi="Times New Roman" w:cs="Times New Roman"/>
          <w:lang w:val="en-US"/>
        </w:rPr>
        <w:t xml:space="preserve"> 2018. </w:t>
      </w:r>
      <w:r w:rsidRPr="004D5857">
        <w:rPr>
          <w:rFonts w:ascii="Times New Roman" w:hAnsi="Times New Roman" w:cs="Times New Roman"/>
          <w:u w:val="single"/>
          <w:lang w:val="en-US"/>
        </w:rPr>
        <w:t>The World Inequality Report 2018</w:t>
      </w:r>
      <w:r w:rsidR="002F43F7">
        <w:rPr>
          <w:rFonts w:ascii="Times New Roman" w:hAnsi="Times New Roman" w:cs="Times New Roman"/>
          <w:lang w:val="en-US"/>
        </w:rPr>
        <w:t>.</w:t>
      </w:r>
      <w:r w:rsidRPr="004D5857">
        <w:rPr>
          <w:rFonts w:ascii="Times New Roman" w:hAnsi="Times New Roman" w:cs="Times New Roman"/>
          <w:lang w:val="en-US"/>
        </w:rPr>
        <w:t xml:space="preserve"> Cambridge: Harvard University Press. Online at </w:t>
      </w:r>
      <w:hyperlink r:id="rId8" w:history="1">
        <w:r w:rsidRPr="004D5857">
          <w:rPr>
            <w:rStyle w:val="Hyperlink"/>
            <w:rFonts w:ascii="Times New Roman" w:hAnsi="Times New Roman" w:cs="Times New Roman"/>
            <w:lang w:val="en-US"/>
          </w:rPr>
          <w:t>http://wir2018.wid.world/</w:t>
        </w:r>
      </w:hyperlink>
    </w:p>
    <w:p w14:paraId="3568F689" w14:textId="5649A9AE" w:rsidR="00E91E01" w:rsidRDefault="00E91E01" w:rsidP="00E11D35">
      <w:pPr>
        <w:spacing w:after="120" w:line="360" w:lineRule="auto"/>
        <w:jc w:val="both"/>
        <w:rPr>
          <w:rFonts w:ascii="Times New Roman" w:hAnsi="Times New Roman" w:cs="Times New Roman"/>
          <w:lang w:val="en-US"/>
        </w:rPr>
      </w:pPr>
      <w:r w:rsidRPr="00422AF9">
        <w:rPr>
          <w:rFonts w:ascii="Times New Roman" w:hAnsi="Times New Roman" w:cs="Times New Roman"/>
          <w:b/>
          <w:lang w:val="en-US"/>
        </w:rPr>
        <w:t xml:space="preserve">Atkinson, Anthony, Thomas </w:t>
      </w:r>
      <w:proofErr w:type="spellStart"/>
      <w:r w:rsidRPr="00422AF9">
        <w:rPr>
          <w:rFonts w:ascii="Times New Roman" w:hAnsi="Times New Roman" w:cs="Times New Roman"/>
          <w:b/>
          <w:lang w:val="en-US"/>
        </w:rPr>
        <w:t>Piketty</w:t>
      </w:r>
      <w:proofErr w:type="spellEnd"/>
      <w:r w:rsidRPr="00422AF9">
        <w:rPr>
          <w:rFonts w:ascii="Times New Roman" w:hAnsi="Times New Roman" w:cs="Times New Roman"/>
          <w:b/>
          <w:lang w:val="en-US"/>
        </w:rPr>
        <w:t>, and Emmanuel Saez</w:t>
      </w:r>
      <w:r w:rsidR="00416CCB" w:rsidRPr="00422AF9">
        <w:rPr>
          <w:rFonts w:ascii="Times New Roman" w:hAnsi="Times New Roman" w:cs="Times New Roman"/>
          <w:b/>
          <w:lang w:val="en-US"/>
        </w:rPr>
        <w:t>.</w:t>
      </w:r>
      <w:r w:rsidR="00416CCB">
        <w:rPr>
          <w:rFonts w:ascii="Times New Roman" w:hAnsi="Times New Roman" w:cs="Times New Roman"/>
          <w:lang w:val="en-US"/>
        </w:rPr>
        <w:t xml:space="preserve"> 2011.</w:t>
      </w:r>
      <w:r w:rsidRPr="00E91E01">
        <w:rPr>
          <w:rFonts w:ascii="Times New Roman" w:hAnsi="Times New Roman" w:cs="Times New Roman"/>
          <w:lang w:val="en-US"/>
        </w:rPr>
        <w:t xml:space="preserve"> “Top Incomes in the Long Run of History</w:t>
      </w:r>
      <w:r w:rsidR="003649D1">
        <w:rPr>
          <w:rFonts w:ascii="Times New Roman" w:hAnsi="Times New Roman" w:cs="Times New Roman"/>
          <w:lang w:val="en-US"/>
        </w:rPr>
        <w:t>.”</w:t>
      </w:r>
      <w:r w:rsidRPr="00E91E01">
        <w:rPr>
          <w:rFonts w:ascii="Times New Roman" w:hAnsi="Times New Roman" w:cs="Times New Roman"/>
          <w:lang w:val="en-US"/>
        </w:rPr>
        <w:t xml:space="preserve"> </w:t>
      </w:r>
      <w:r w:rsidRPr="00D86AFB">
        <w:rPr>
          <w:rFonts w:ascii="Times New Roman" w:hAnsi="Times New Roman" w:cs="Times New Roman"/>
          <w:i/>
          <w:lang w:val="en-US"/>
        </w:rPr>
        <w:t>Journal of E</w:t>
      </w:r>
      <w:r w:rsidR="0045629D" w:rsidRPr="00D86AFB">
        <w:rPr>
          <w:rFonts w:ascii="Times New Roman" w:hAnsi="Times New Roman" w:cs="Times New Roman"/>
          <w:i/>
          <w:lang w:val="en-US"/>
        </w:rPr>
        <w:t>conomic Literature</w:t>
      </w:r>
      <w:r w:rsidR="0045629D">
        <w:rPr>
          <w:rFonts w:ascii="Times New Roman" w:hAnsi="Times New Roman" w:cs="Times New Roman"/>
          <w:lang w:val="en-US"/>
        </w:rPr>
        <w:t xml:space="preserve"> 49</w:t>
      </w:r>
      <w:r w:rsidR="00D86AFB">
        <w:rPr>
          <w:rFonts w:ascii="Times New Roman" w:hAnsi="Times New Roman" w:cs="Times New Roman"/>
          <w:lang w:val="en-US"/>
        </w:rPr>
        <w:t xml:space="preserve">: </w:t>
      </w:r>
      <w:r w:rsidR="0045629D">
        <w:rPr>
          <w:rFonts w:ascii="Times New Roman" w:hAnsi="Times New Roman" w:cs="Times New Roman"/>
          <w:lang w:val="en-US"/>
        </w:rPr>
        <w:t>(1), 2011.</w:t>
      </w:r>
    </w:p>
    <w:p w14:paraId="6FED2308" w14:textId="1FFC37ED" w:rsidR="00522581" w:rsidRDefault="00641A8F" w:rsidP="00E11D35">
      <w:pPr>
        <w:spacing w:after="120" w:line="360" w:lineRule="auto"/>
        <w:jc w:val="both"/>
        <w:rPr>
          <w:rFonts w:ascii="Times New Roman" w:hAnsi="Times New Roman" w:cs="Times New Roman"/>
          <w:lang w:val="en-US"/>
        </w:rPr>
      </w:pPr>
      <w:proofErr w:type="spellStart"/>
      <w:r w:rsidRPr="00422AF9">
        <w:rPr>
          <w:rFonts w:ascii="Times New Roman" w:hAnsi="Times New Roman" w:cs="Times New Roman"/>
          <w:b/>
          <w:lang w:val="en-US"/>
        </w:rPr>
        <w:t>Auten</w:t>
      </w:r>
      <w:proofErr w:type="spellEnd"/>
      <w:r w:rsidRPr="00422AF9">
        <w:rPr>
          <w:rFonts w:ascii="Times New Roman" w:hAnsi="Times New Roman" w:cs="Times New Roman"/>
          <w:b/>
          <w:lang w:val="en-US"/>
        </w:rPr>
        <w:t>,</w:t>
      </w:r>
      <w:r w:rsidR="00214D88" w:rsidRPr="00422AF9">
        <w:rPr>
          <w:rFonts w:ascii="Times New Roman" w:hAnsi="Times New Roman" w:cs="Times New Roman"/>
          <w:b/>
          <w:lang w:val="en-US"/>
        </w:rPr>
        <w:t xml:space="preserve"> Gerald and David Splinter.</w:t>
      </w:r>
      <w:r w:rsidR="00214D88">
        <w:rPr>
          <w:rFonts w:ascii="Times New Roman" w:hAnsi="Times New Roman" w:cs="Times New Roman"/>
          <w:lang w:val="en-US"/>
        </w:rPr>
        <w:t xml:space="preserve"> 2018</w:t>
      </w:r>
      <w:r w:rsidRPr="00641A8F">
        <w:rPr>
          <w:rFonts w:ascii="Times New Roman" w:hAnsi="Times New Roman" w:cs="Times New Roman"/>
          <w:lang w:val="en-US"/>
        </w:rPr>
        <w:t>. “Income Inequality in the United States: Using</w:t>
      </w:r>
      <w:r w:rsidR="00E11D35">
        <w:rPr>
          <w:rFonts w:ascii="Times New Roman" w:hAnsi="Times New Roman" w:cs="Times New Roman"/>
          <w:lang w:val="en-US"/>
        </w:rPr>
        <w:t xml:space="preserve"> </w:t>
      </w:r>
      <w:r w:rsidRPr="00641A8F">
        <w:rPr>
          <w:rFonts w:ascii="Times New Roman" w:hAnsi="Times New Roman" w:cs="Times New Roman"/>
          <w:lang w:val="en-US"/>
        </w:rPr>
        <w:t>Tax D</w:t>
      </w:r>
      <w:r w:rsidR="00277A51">
        <w:rPr>
          <w:rFonts w:ascii="Times New Roman" w:hAnsi="Times New Roman" w:cs="Times New Roman"/>
          <w:lang w:val="en-US"/>
        </w:rPr>
        <w:t>ata to Measure Long-term Trends.</w:t>
      </w:r>
      <w:r w:rsidRPr="00641A8F">
        <w:rPr>
          <w:rFonts w:ascii="Times New Roman" w:hAnsi="Times New Roman" w:cs="Times New Roman"/>
          <w:lang w:val="en-US"/>
        </w:rPr>
        <w:t>” U.S. Department of the Treasury, Office of Tax</w:t>
      </w:r>
      <w:r w:rsidR="00E11D35">
        <w:rPr>
          <w:rFonts w:ascii="Times New Roman" w:hAnsi="Times New Roman" w:cs="Times New Roman"/>
          <w:lang w:val="en-US"/>
        </w:rPr>
        <w:t xml:space="preserve"> </w:t>
      </w:r>
      <w:r w:rsidR="00BE5BF7">
        <w:rPr>
          <w:rFonts w:ascii="Times New Roman" w:hAnsi="Times New Roman" w:cs="Times New Roman"/>
          <w:lang w:val="en-US"/>
        </w:rPr>
        <w:t xml:space="preserve">Analysis, unpublished mimeo, </w:t>
      </w:r>
      <w:r w:rsidR="00EF1A94">
        <w:rPr>
          <w:rFonts w:ascii="Times New Roman" w:hAnsi="Times New Roman" w:cs="Times New Roman"/>
          <w:lang w:val="en-US"/>
        </w:rPr>
        <w:t>August</w:t>
      </w:r>
      <w:r w:rsidR="00BE5BF7">
        <w:rPr>
          <w:rFonts w:ascii="Times New Roman" w:hAnsi="Times New Roman" w:cs="Times New Roman"/>
          <w:lang w:val="en-US"/>
        </w:rPr>
        <w:t xml:space="preserve"> 2018 version.</w:t>
      </w:r>
    </w:p>
    <w:p w14:paraId="2E5E05BB" w14:textId="2D8C724B" w:rsidR="00E8403A" w:rsidRDefault="00522581" w:rsidP="00522581">
      <w:pPr>
        <w:spacing w:after="120" w:line="360" w:lineRule="auto"/>
        <w:jc w:val="both"/>
        <w:rPr>
          <w:rFonts w:ascii="Times New Roman" w:hAnsi="Times New Roman" w:cs="Times New Roman"/>
          <w:lang w:val="en-US"/>
        </w:rPr>
      </w:pPr>
      <w:r w:rsidRPr="00422AF9">
        <w:rPr>
          <w:rFonts w:ascii="Times New Roman" w:hAnsi="Times New Roman" w:cs="Times New Roman"/>
          <w:b/>
          <w:lang w:val="en-US"/>
        </w:rPr>
        <w:t xml:space="preserve">Bricker, Jesse, Lisa J. </w:t>
      </w:r>
      <w:proofErr w:type="spellStart"/>
      <w:r w:rsidRPr="00422AF9">
        <w:rPr>
          <w:rFonts w:ascii="Times New Roman" w:hAnsi="Times New Roman" w:cs="Times New Roman"/>
          <w:b/>
          <w:lang w:val="en-US"/>
        </w:rPr>
        <w:t>Dettling</w:t>
      </w:r>
      <w:proofErr w:type="spellEnd"/>
      <w:r w:rsidRPr="00422AF9">
        <w:rPr>
          <w:rFonts w:ascii="Times New Roman" w:hAnsi="Times New Roman" w:cs="Times New Roman"/>
          <w:b/>
          <w:lang w:val="en-US"/>
        </w:rPr>
        <w:t xml:space="preserve">, Alice </w:t>
      </w:r>
      <w:proofErr w:type="spellStart"/>
      <w:r w:rsidRPr="00422AF9">
        <w:rPr>
          <w:rFonts w:ascii="Times New Roman" w:hAnsi="Times New Roman" w:cs="Times New Roman"/>
          <w:b/>
          <w:lang w:val="en-US"/>
        </w:rPr>
        <w:t>Henriques</w:t>
      </w:r>
      <w:proofErr w:type="spellEnd"/>
      <w:r w:rsidRPr="00422AF9">
        <w:rPr>
          <w:rFonts w:ascii="Times New Roman" w:hAnsi="Times New Roman" w:cs="Times New Roman"/>
          <w:b/>
          <w:lang w:val="en-US"/>
        </w:rPr>
        <w:t>, Joanne W. Hsu, Lindsay Jacobs, Kevin B.</w:t>
      </w:r>
      <w:r w:rsidR="002721F0" w:rsidRPr="00422AF9">
        <w:rPr>
          <w:rFonts w:ascii="Times New Roman" w:hAnsi="Times New Roman" w:cs="Times New Roman"/>
          <w:b/>
          <w:lang w:val="en-US"/>
        </w:rPr>
        <w:t xml:space="preserve"> </w:t>
      </w:r>
      <w:r w:rsidRPr="00422AF9">
        <w:rPr>
          <w:rFonts w:ascii="Times New Roman" w:hAnsi="Times New Roman" w:cs="Times New Roman"/>
          <w:b/>
          <w:lang w:val="en-US"/>
        </w:rPr>
        <w:t xml:space="preserve">Moore, Sarah Pack, John </w:t>
      </w:r>
      <w:proofErr w:type="spellStart"/>
      <w:r w:rsidRPr="00422AF9">
        <w:rPr>
          <w:rFonts w:ascii="Times New Roman" w:hAnsi="Times New Roman" w:cs="Times New Roman"/>
          <w:b/>
          <w:lang w:val="en-US"/>
        </w:rPr>
        <w:t>Sabelhaus</w:t>
      </w:r>
      <w:proofErr w:type="spellEnd"/>
      <w:r w:rsidRPr="00422AF9">
        <w:rPr>
          <w:rFonts w:ascii="Times New Roman" w:hAnsi="Times New Roman" w:cs="Times New Roman"/>
          <w:b/>
          <w:lang w:val="en-US"/>
        </w:rPr>
        <w:t xml:space="preserve">, Jeffrey Thompson, and Richard A. </w:t>
      </w:r>
      <w:proofErr w:type="spellStart"/>
      <w:r w:rsidRPr="00422AF9">
        <w:rPr>
          <w:rFonts w:ascii="Times New Roman" w:hAnsi="Times New Roman" w:cs="Times New Roman"/>
          <w:b/>
          <w:lang w:val="en-US"/>
        </w:rPr>
        <w:t>Windle</w:t>
      </w:r>
      <w:proofErr w:type="spellEnd"/>
      <w:r w:rsidR="008168F0" w:rsidRPr="00422AF9">
        <w:rPr>
          <w:rFonts w:ascii="Times New Roman" w:hAnsi="Times New Roman" w:cs="Times New Roman"/>
          <w:b/>
          <w:lang w:val="en-US"/>
        </w:rPr>
        <w:t>.</w:t>
      </w:r>
      <w:r w:rsidR="008168F0">
        <w:rPr>
          <w:rFonts w:ascii="Times New Roman" w:hAnsi="Times New Roman" w:cs="Times New Roman"/>
          <w:lang w:val="en-US"/>
        </w:rPr>
        <w:t xml:space="preserve"> 2017</w:t>
      </w:r>
      <w:r w:rsidR="00000422">
        <w:rPr>
          <w:rFonts w:ascii="Times New Roman" w:hAnsi="Times New Roman" w:cs="Times New Roman"/>
          <w:lang w:val="en-US"/>
        </w:rPr>
        <w:t>.</w:t>
      </w:r>
      <w:r w:rsidR="008168F0">
        <w:rPr>
          <w:rFonts w:ascii="Times New Roman" w:hAnsi="Times New Roman" w:cs="Times New Roman"/>
          <w:lang w:val="en-US"/>
        </w:rPr>
        <w:t xml:space="preserve"> “</w:t>
      </w:r>
      <w:r w:rsidRPr="00522581">
        <w:rPr>
          <w:rFonts w:ascii="Times New Roman" w:hAnsi="Times New Roman" w:cs="Times New Roman"/>
          <w:lang w:val="en-US"/>
        </w:rPr>
        <w:t>Chang</w:t>
      </w:r>
      <w:r>
        <w:rPr>
          <w:rFonts w:ascii="Times New Roman" w:hAnsi="Times New Roman" w:cs="Times New Roman"/>
          <w:lang w:val="en-US"/>
        </w:rPr>
        <w:t xml:space="preserve">es in U.S. Family Finances from </w:t>
      </w:r>
      <w:r w:rsidRPr="00522581">
        <w:rPr>
          <w:rFonts w:ascii="Times New Roman" w:hAnsi="Times New Roman" w:cs="Times New Roman"/>
          <w:lang w:val="en-US"/>
        </w:rPr>
        <w:t>2013 to 2016: Evidence from the Survey of</w:t>
      </w:r>
      <w:r>
        <w:rPr>
          <w:rFonts w:ascii="Times New Roman" w:hAnsi="Times New Roman" w:cs="Times New Roman"/>
          <w:lang w:val="en-US"/>
        </w:rPr>
        <w:t xml:space="preserve"> </w:t>
      </w:r>
      <w:r w:rsidRPr="00522581">
        <w:rPr>
          <w:rFonts w:ascii="Times New Roman" w:hAnsi="Times New Roman" w:cs="Times New Roman"/>
          <w:lang w:val="en-US"/>
        </w:rPr>
        <w:t>Consumer Finances</w:t>
      </w:r>
      <w:r w:rsidR="00D20322">
        <w:rPr>
          <w:rFonts w:ascii="Times New Roman" w:hAnsi="Times New Roman" w:cs="Times New Roman"/>
          <w:lang w:val="en-US"/>
        </w:rPr>
        <w:t>.”</w:t>
      </w:r>
      <w:r w:rsidR="00422AF9">
        <w:rPr>
          <w:rFonts w:ascii="Times New Roman" w:hAnsi="Times New Roman" w:cs="Times New Roman"/>
          <w:lang w:val="en-US"/>
        </w:rPr>
        <w:t xml:space="preserve"> </w:t>
      </w:r>
      <w:r w:rsidR="00422AF9" w:rsidRPr="002F43F7">
        <w:rPr>
          <w:rFonts w:ascii="Times New Roman" w:hAnsi="Times New Roman" w:cs="Times New Roman"/>
          <w:i/>
          <w:lang w:val="en-US"/>
        </w:rPr>
        <w:t>Federal Reserve Bulletin</w:t>
      </w:r>
      <w:r w:rsidR="006363BB">
        <w:rPr>
          <w:rFonts w:ascii="Times New Roman" w:hAnsi="Times New Roman" w:cs="Times New Roman"/>
          <w:lang w:val="en-US"/>
        </w:rPr>
        <w:t xml:space="preserve"> 103</w:t>
      </w:r>
      <w:r w:rsidR="00422AF9">
        <w:rPr>
          <w:rFonts w:ascii="Times New Roman" w:hAnsi="Times New Roman" w:cs="Times New Roman"/>
          <w:lang w:val="en-US"/>
        </w:rPr>
        <w:t xml:space="preserve"> </w:t>
      </w:r>
      <w:r w:rsidR="000A7FFC">
        <w:rPr>
          <w:rFonts w:ascii="Times New Roman" w:hAnsi="Times New Roman" w:cs="Times New Roman"/>
          <w:lang w:val="en-US"/>
        </w:rPr>
        <w:t>(3):</w:t>
      </w:r>
      <w:r w:rsidR="006363BB">
        <w:rPr>
          <w:rFonts w:ascii="Times New Roman" w:hAnsi="Times New Roman" w:cs="Times New Roman"/>
          <w:lang w:val="en-US"/>
        </w:rPr>
        <w:t xml:space="preserve"> 1-</w:t>
      </w:r>
      <w:r w:rsidR="00373D41">
        <w:rPr>
          <w:rFonts w:ascii="Times New Roman" w:hAnsi="Times New Roman" w:cs="Times New Roman"/>
          <w:lang w:val="en-US"/>
        </w:rPr>
        <w:t>42.</w:t>
      </w:r>
    </w:p>
    <w:p w14:paraId="7DFD9014" w14:textId="1814A9A6" w:rsidR="00235713" w:rsidRDefault="00235713" w:rsidP="00235713">
      <w:pPr>
        <w:spacing w:after="120" w:line="360" w:lineRule="auto"/>
        <w:jc w:val="both"/>
        <w:rPr>
          <w:rFonts w:ascii="Times New Roman" w:hAnsi="Times New Roman" w:cs="Times New Roman"/>
          <w:lang w:val="en-US"/>
        </w:rPr>
      </w:pPr>
      <w:proofErr w:type="gramStart"/>
      <w:r w:rsidRPr="001B2E39">
        <w:rPr>
          <w:rFonts w:ascii="Times New Roman" w:hAnsi="Times New Roman" w:cs="Times New Roman"/>
          <w:b/>
          <w:lang w:val="en-US"/>
        </w:rPr>
        <w:t>Congressional Budget Office.</w:t>
      </w:r>
      <w:proofErr w:type="gramEnd"/>
      <w:r w:rsidRPr="00235713">
        <w:rPr>
          <w:rFonts w:ascii="Times New Roman" w:hAnsi="Times New Roman" w:cs="Times New Roman"/>
          <w:lang w:val="en-US"/>
        </w:rPr>
        <w:t xml:space="preserve"> 2018. “The</w:t>
      </w:r>
      <w:r>
        <w:rPr>
          <w:rFonts w:ascii="Times New Roman" w:hAnsi="Times New Roman" w:cs="Times New Roman"/>
          <w:lang w:val="en-US"/>
        </w:rPr>
        <w:t xml:space="preserve"> </w:t>
      </w:r>
      <w:r w:rsidRPr="00235713">
        <w:rPr>
          <w:rFonts w:ascii="Times New Roman" w:hAnsi="Times New Roman" w:cs="Times New Roman"/>
          <w:lang w:val="en-US"/>
        </w:rPr>
        <w:t>Distribution of Household Income, 2015.”</w:t>
      </w:r>
      <w:r>
        <w:rPr>
          <w:rFonts w:ascii="Times New Roman" w:hAnsi="Times New Roman" w:cs="Times New Roman"/>
          <w:lang w:val="en-US"/>
        </w:rPr>
        <w:t xml:space="preserve"> </w:t>
      </w:r>
      <w:proofErr w:type="gramStart"/>
      <w:r w:rsidRPr="00235713">
        <w:rPr>
          <w:rFonts w:ascii="Times New Roman" w:hAnsi="Times New Roman" w:cs="Times New Roman"/>
          <w:lang w:val="en-US"/>
        </w:rPr>
        <w:t>Congressional Budget Office.</w:t>
      </w:r>
      <w:proofErr w:type="gramEnd"/>
    </w:p>
    <w:p w14:paraId="680EA5FB" w14:textId="7107B89C" w:rsidR="00E8403A" w:rsidRDefault="00E8403A" w:rsidP="00522581">
      <w:pPr>
        <w:spacing w:after="120" w:line="360" w:lineRule="auto"/>
        <w:jc w:val="both"/>
        <w:rPr>
          <w:rFonts w:ascii="Times New Roman" w:hAnsi="Times New Roman" w:cs="Times New Roman"/>
          <w:lang w:val="en-US"/>
        </w:rPr>
      </w:pPr>
      <w:r w:rsidRPr="001B2E39">
        <w:rPr>
          <w:rFonts w:ascii="Times New Roman" w:hAnsi="Times New Roman" w:cs="Times New Roman"/>
          <w:b/>
          <w:lang w:val="en-US"/>
        </w:rPr>
        <w:t xml:space="preserve">Johns, Andrew, and Joel </w:t>
      </w:r>
      <w:proofErr w:type="spellStart"/>
      <w:r w:rsidRPr="001B2E39">
        <w:rPr>
          <w:rFonts w:ascii="Times New Roman" w:hAnsi="Times New Roman" w:cs="Times New Roman"/>
          <w:b/>
          <w:lang w:val="en-US"/>
        </w:rPr>
        <w:t>Slemrod</w:t>
      </w:r>
      <w:proofErr w:type="spellEnd"/>
      <w:r w:rsidRPr="001B2E39">
        <w:rPr>
          <w:rFonts w:ascii="Times New Roman" w:hAnsi="Times New Roman" w:cs="Times New Roman"/>
          <w:b/>
          <w:lang w:val="en-US"/>
        </w:rPr>
        <w:t>.</w:t>
      </w:r>
      <w:r w:rsidR="00476F86">
        <w:rPr>
          <w:rFonts w:ascii="Times New Roman" w:hAnsi="Times New Roman" w:cs="Times New Roman"/>
          <w:lang w:val="en-US"/>
        </w:rPr>
        <w:t xml:space="preserve"> 2010.</w:t>
      </w:r>
      <w:r w:rsidR="00DE73E7">
        <w:rPr>
          <w:rFonts w:ascii="Times New Roman" w:hAnsi="Times New Roman" w:cs="Times New Roman"/>
          <w:lang w:val="en-US"/>
        </w:rPr>
        <w:t xml:space="preserve"> “</w:t>
      </w:r>
      <w:r w:rsidR="008368B6">
        <w:rPr>
          <w:rFonts w:ascii="Times New Roman" w:hAnsi="Times New Roman" w:cs="Times New Roman"/>
          <w:lang w:val="en-US"/>
        </w:rPr>
        <w:t>The Distribution of Income Tax N</w:t>
      </w:r>
      <w:r w:rsidRPr="00E8403A">
        <w:rPr>
          <w:rFonts w:ascii="Times New Roman" w:hAnsi="Times New Roman" w:cs="Times New Roman"/>
          <w:lang w:val="en-US"/>
        </w:rPr>
        <w:t>oncompl</w:t>
      </w:r>
      <w:r w:rsidR="00DE73E7">
        <w:rPr>
          <w:rFonts w:ascii="Times New Roman" w:hAnsi="Times New Roman" w:cs="Times New Roman"/>
          <w:lang w:val="en-US"/>
        </w:rPr>
        <w:t xml:space="preserve">iance.” </w:t>
      </w:r>
      <w:r w:rsidR="00476F86" w:rsidRPr="00E276B8">
        <w:rPr>
          <w:rFonts w:ascii="Times New Roman" w:hAnsi="Times New Roman" w:cs="Times New Roman"/>
          <w:i/>
          <w:lang w:val="en-US"/>
        </w:rPr>
        <w:t>National Tax Journal</w:t>
      </w:r>
      <w:r w:rsidR="00476F86">
        <w:rPr>
          <w:rFonts w:ascii="Times New Roman" w:hAnsi="Times New Roman" w:cs="Times New Roman"/>
          <w:lang w:val="en-US"/>
        </w:rPr>
        <w:t xml:space="preserve"> 63(</w:t>
      </w:r>
      <w:r w:rsidRPr="00E8403A">
        <w:rPr>
          <w:rFonts w:ascii="Times New Roman" w:hAnsi="Times New Roman" w:cs="Times New Roman"/>
          <w:lang w:val="en-US"/>
        </w:rPr>
        <w:t>3</w:t>
      </w:r>
      <w:r w:rsidR="00E276B8">
        <w:rPr>
          <w:rFonts w:ascii="Times New Roman" w:hAnsi="Times New Roman" w:cs="Times New Roman"/>
          <w:lang w:val="en-US"/>
        </w:rPr>
        <w:t>):</w:t>
      </w:r>
      <w:r w:rsidR="00476F86">
        <w:rPr>
          <w:rFonts w:ascii="Times New Roman" w:hAnsi="Times New Roman" w:cs="Times New Roman"/>
          <w:lang w:val="en-US"/>
        </w:rPr>
        <w:t xml:space="preserve"> </w:t>
      </w:r>
      <w:r w:rsidRPr="00E8403A">
        <w:rPr>
          <w:rFonts w:ascii="Times New Roman" w:hAnsi="Times New Roman" w:cs="Times New Roman"/>
          <w:lang w:val="en-US"/>
        </w:rPr>
        <w:t>397</w:t>
      </w:r>
      <w:r w:rsidR="00074CD4">
        <w:rPr>
          <w:rFonts w:ascii="Times New Roman" w:hAnsi="Times New Roman" w:cs="Times New Roman"/>
          <w:lang w:val="en-US"/>
        </w:rPr>
        <w:t>-418</w:t>
      </w:r>
      <w:r w:rsidRPr="00E8403A">
        <w:rPr>
          <w:rFonts w:ascii="Times New Roman" w:hAnsi="Times New Roman" w:cs="Times New Roman"/>
          <w:lang w:val="en-US"/>
        </w:rPr>
        <w:t>.</w:t>
      </w:r>
    </w:p>
    <w:p w14:paraId="77F8A932" w14:textId="76304434" w:rsidR="008D232F" w:rsidRPr="00522581" w:rsidRDefault="00546DC7" w:rsidP="00522581">
      <w:pPr>
        <w:spacing w:after="120" w:line="360" w:lineRule="auto"/>
        <w:jc w:val="both"/>
        <w:rPr>
          <w:rFonts w:ascii="Times New Roman" w:hAnsi="Times New Roman" w:cs="Times New Roman"/>
          <w:lang w:val="en-US"/>
        </w:rPr>
      </w:pPr>
      <w:proofErr w:type="spellStart"/>
      <w:r w:rsidRPr="001B2E39">
        <w:rPr>
          <w:rFonts w:ascii="Times New Roman" w:hAnsi="Times New Roman" w:cs="Times New Roman"/>
          <w:b/>
          <w:lang w:val="en-US"/>
        </w:rPr>
        <w:t>Piketty</w:t>
      </w:r>
      <w:proofErr w:type="spellEnd"/>
      <w:r w:rsidRPr="001B2E39">
        <w:rPr>
          <w:rFonts w:ascii="Times New Roman" w:hAnsi="Times New Roman" w:cs="Times New Roman"/>
          <w:b/>
          <w:lang w:val="en-US"/>
        </w:rPr>
        <w:t>, Thomas and Emmanuel Saez.</w:t>
      </w:r>
      <w:r>
        <w:rPr>
          <w:rFonts w:ascii="Times New Roman" w:hAnsi="Times New Roman" w:cs="Times New Roman"/>
          <w:lang w:val="en-US"/>
        </w:rPr>
        <w:t xml:space="preserve"> 2003.</w:t>
      </w:r>
      <w:r w:rsidRPr="00546DC7">
        <w:rPr>
          <w:rFonts w:ascii="Times New Roman" w:hAnsi="Times New Roman" w:cs="Times New Roman"/>
          <w:lang w:val="en-US"/>
        </w:rPr>
        <w:t xml:space="preserve"> “Income Inequality in the United States, 1913-1998</w:t>
      </w:r>
      <w:r w:rsidR="00D50C61">
        <w:rPr>
          <w:rFonts w:ascii="Times New Roman" w:hAnsi="Times New Roman" w:cs="Times New Roman"/>
          <w:lang w:val="en-US"/>
        </w:rPr>
        <w:t xml:space="preserve">.” </w:t>
      </w:r>
      <w:r w:rsidR="00D50C61" w:rsidRPr="00AC3149">
        <w:rPr>
          <w:rFonts w:ascii="Times New Roman" w:hAnsi="Times New Roman" w:cs="Times New Roman"/>
          <w:i/>
          <w:lang w:val="en-US"/>
        </w:rPr>
        <w:t>Quarterly Journal of Economics</w:t>
      </w:r>
      <w:r w:rsidRPr="00546DC7">
        <w:rPr>
          <w:rFonts w:ascii="Times New Roman" w:hAnsi="Times New Roman" w:cs="Times New Roman"/>
          <w:lang w:val="en-US"/>
        </w:rPr>
        <w:t xml:space="preserve"> 118</w:t>
      </w:r>
      <w:r w:rsidR="00AC3149">
        <w:rPr>
          <w:rFonts w:ascii="Times New Roman" w:hAnsi="Times New Roman" w:cs="Times New Roman"/>
          <w:lang w:val="en-US"/>
        </w:rPr>
        <w:t xml:space="preserve"> (1):</w:t>
      </w:r>
      <w:r w:rsidRPr="00546DC7">
        <w:rPr>
          <w:rFonts w:ascii="Times New Roman" w:hAnsi="Times New Roman" w:cs="Times New Roman"/>
          <w:lang w:val="en-US"/>
        </w:rPr>
        <w:t xml:space="preserve"> 1-39</w:t>
      </w:r>
      <w:r w:rsidR="00B829C1">
        <w:rPr>
          <w:rFonts w:ascii="Times New Roman" w:hAnsi="Times New Roman" w:cs="Times New Roman"/>
          <w:lang w:val="en-US"/>
        </w:rPr>
        <w:t>.</w:t>
      </w:r>
    </w:p>
    <w:p w14:paraId="564A8754" w14:textId="01BD4DD4" w:rsidR="00641A8F" w:rsidRDefault="00641A8F" w:rsidP="00E11D35">
      <w:pPr>
        <w:spacing w:after="120" w:line="360" w:lineRule="auto"/>
        <w:jc w:val="both"/>
        <w:rPr>
          <w:rFonts w:ascii="Times New Roman" w:hAnsi="Times New Roman" w:cs="Times New Roman"/>
          <w:lang w:val="en-US"/>
        </w:rPr>
      </w:pPr>
      <w:proofErr w:type="spellStart"/>
      <w:r w:rsidRPr="001B2E39">
        <w:rPr>
          <w:rFonts w:ascii="Times New Roman" w:hAnsi="Times New Roman" w:cs="Times New Roman"/>
          <w:b/>
          <w:lang w:val="en-US"/>
        </w:rPr>
        <w:t>Piketty</w:t>
      </w:r>
      <w:proofErr w:type="spellEnd"/>
      <w:r w:rsidRPr="001B2E39">
        <w:rPr>
          <w:rFonts w:ascii="Times New Roman" w:hAnsi="Times New Roman" w:cs="Times New Roman"/>
          <w:b/>
          <w:lang w:val="en-US"/>
        </w:rPr>
        <w:t>, Thomas, Em</w:t>
      </w:r>
      <w:r w:rsidR="003555C5" w:rsidRPr="001B2E39">
        <w:rPr>
          <w:rFonts w:ascii="Times New Roman" w:hAnsi="Times New Roman" w:cs="Times New Roman"/>
          <w:b/>
          <w:lang w:val="en-US"/>
        </w:rPr>
        <w:t xml:space="preserve">manuel Saez, and Gabriel </w:t>
      </w:r>
      <w:proofErr w:type="spellStart"/>
      <w:r w:rsidR="003555C5" w:rsidRPr="001B2E39">
        <w:rPr>
          <w:rFonts w:ascii="Times New Roman" w:hAnsi="Times New Roman" w:cs="Times New Roman"/>
          <w:b/>
          <w:lang w:val="en-US"/>
        </w:rPr>
        <w:t>Zucman</w:t>
      </w:r>
      <w:proofErr w:type="spellEnd"/>
      <w:r w:rsidR="003555C5" w:rsidRPr="001B2E39">
        <w:rPr>
          <w:rFonts w:ascii="Times New Roman" w:hAnsi="Times New Roman" w:cs="Times New Roman"/>
          <w:b/>
          <w:lang w:val="en-US"/>
        </w:rPr>
        <w:t>.</w:t>
      </w:r>
      <w:r w:rsidR="003555C5">
        <w:rPr>
          <w:rFonts w:ascii="Times New Roman" w:hAnsi="Times New Roman" w:cs="Times New Roman"/>
          <w:lang w:val="en-US"/>
        </w:rPr>
        <w:t xml:space="preserve"> 2018.</w:t>
      </w:r>
      <w:r w:rsidRPr="00641A8F">
        <w:rPr>
          <w:rFonts w:ascii="Times New Roman" w:hAnsi="Times New Roman" w:cs="Times New Roman"/>
          <w:lang w:val="en-US"/>
        </w:rPr>
        <w:t xml:space="preserve"> “Distributional National Accounts: Methods and Estimates for the United States</w:t>
      </w:r>
      <w:r w:rsidR="001E7449">
        <w:rPr>
          <w:rFonts w:ascii="Times New Roman" w:hAnsi="Times New Roman" w:cs="Times New Roman"/>
          <w:lang w:val="en-US"/>
        </w:rPr>
        <w:t>.”</w:t>
      </w:r>
      <w:r w:rsidRPr="00641A8F">
        <w:rPr>
          <w:rFonts w:ascii="Times New Roman" w:hAnsi="Times New Roman" w:cs="Times New Roman"/>
          <w:lang w:val="en-US"/>
        </w:rPr>
        <w:t xml:space="preserve"> </w:t>
      </w:r>
      <w:r w:rsidRPr="007B1864">
        <w:rPr>
          <w:rFonts w:ascii="Times New Roman" w:hAnsi="Times New Roman" w:cs="Times New Roman"/>
          <w:i/>
          <w:lang w:val="en-US"/>
        </w:rPr>
        <w:t>Quarterly Journal of Economics</w:t>
      </w:r>
      <w:r w:rsidRPr="00641A8F">
        <w:rPr>
          <w:rFonts w:ascii="Times New Roman" w:hAnsi="Times New Roman" w:cs="Times New Roman"/>
          <w:lang w:val="en-US"/>
        </w:rPr>
        <w:t xml:space="preserve"> 133</w:t>
      </w:r>
      <w:r w:rsidR="007B1864">
        <w:rPr>
          <w:rFonts w:ascii="Times New Roman" w:hAnsi="Times New Roman" w:cs="Times New Roman"/>
          <w:lang w:val="en-US"/>
        </w:rPr>
        <w:t xml:space="preserve"> (2):</w:t>
      </w:r>
      <w:r w:rsidRPr="00641A8F">
        <w:rPr>
          <w:rFonts w:ascii="Times New Roman" w:hAnsi="Times New Roman" w:cs="Times New Roman"/>
          <w:lang w:val="en-US"/>
        </w:rPr>
        <w:t xml:space="preserve"> 553-609.</w:t>
      </w:r>
    </w:p>
    <w:p w14:paraId="7CD6166B" w14:textId="30600A57" w:rsidR="001A2868" w:rsidRDefault="001A2868" w:rsidP="00E11D35">
      <w:pPr>
        <w:spacing w:after="120" w:line="360" w:lineRule="auto"/>
        <w:jc w:val="both"/>
        <w:rPr>
          <w:rFonts w:ascii="Times New Roman" w:hAnsi="Times New Roman" w:cs="Times New Roman"/>
          <w:lang w:val="en-US"/>
        </w:rPr>
      </w:pPr>
      <w:r w:rsidRPr="001B2E39">
        <w:rPr>
          <w:rFonts w:ascii="Times New Roman" w:hAnsi="Times New Roman" w:cs="Times New Roman"/>
          <w:b/>
          <w:lang w:val="en-US"/>
        </w:rPr>
        <w:t xml:space="preserve">Saez, Emmanuel and Gabriel </w:t>
      </w:r>
      <w:proofErr w:type="spellStart"/>
      <w:r w:rsidRPr="001B2E39">
        <w:rPr>
          <w:rFonts w:ascii="Times New Roman" w:hAnsi="Times New Roman" w:cs="Times New Roman"/>
          <w:b/>
          <w:lang w:val="en-US"/>
        </w:rPr>
        <w:t>Zucman</w:t>
      </w:r>
      <w:proofErr w:type="spellEnd"/>
      <w:r w:rsidRPr="001B2E39">
        <w:rPr>
          <w:rFonts w:ascii="Times New Roman" w:hAnsi="Times New Roman" w:cs="Times New Roman"/>
          <w:b/>
          <w:lang w:val="en-US"/>
        </w:rPr>
        <w:t>.</w:t>
      </w:r>
      <w:r>
        <w:rPr>
          <w:rFonts w:ascii="Times New Roman" w:hAnsi="Times New Roman" w:cs="Times New Roman"/>
          <w:lang w:val="en-US"/>
        </w:rPr>
        <w:t xml:space="preserve"> 2016.</w:t>
      </w:r>
      <w:r w:rsidRPr="001A2868">
        <w:rPr>
          <w:rFonts w:ascii="Times New Roman" w:hAnsi="Times New Roman" w:cs="Times New Roman"/>
          <w:lang w:val="en-US"/>
        </w:rPr>
        <w:t xml:space="preserve"> “Wealth Inequality in the United States since 1913: Evidence from Capitalized Income Tax Data</w:t>
      </w:r>
      <w:r w:rsidR="00811A33">
        <w:rPr>
          <w:rFonts w:ascii="Times New Roman" w:hAnsi="Times New Roman" w:cs="Times New Roman"/>
          <w:lang w:val="en-US"/>
        </w:rPr>
        <w:t>.”</w:t>
      </w:r>
      <w:r w:rsidRPr="001A2868">
        <w:rPr>
          <w:rFonts w:ascii="Times New Roman" w:hAnsi="Times New Roman" w:cs="Times New Roman"/>
          <w:lang w:val="en-US"/>
        </w:rPr>
        <w:t xml:space="preserve"> </w:t>
      </w:r>
      <w:r w:rsidRPr="00811A33">
        <w:rPr>
          <w:rFonts w:ascii="Times New Roman" w:hAnsi="Times New Roman" w:cs="Times New Roman"/>
          <w:i/>
          <w:lang w:val="en-US"/>
        </w:rPr>
        <w:t>Quarterly Journal of Economics</w:t>
      </w:r>
      <w:r w:rsidRPr="001A2868">
        <w:rPr>
          <w:rFonts w:ascii="Times New Roman" w:hAnsi="Times New Roman" w:cs="Times New Roman"/>
          <w:lang w:val="en-US"/>
        </w:rPr>
        <w:t xml:space="preserve"> 131</w:t>
      </w:r>
      <w:r w:rsidR="00F15E79">
        <w:rPr>
          <w:rFonts w:ascii="Times New Roman" w:hAnsi="Times New Roman" w:cs="Times New Roman"/>
          <w:lang w:val="en-US"/>
        </w:rPr>
        <w:t xml:space="preserve"> (2):</w:t>
      </w:r>
      <w:r w:rsidRPr="001A2868">
        <w:rPr>
          <w:rFonts w:ascii="Times New Roman" w:hAnsi="Times New Roman" w:cs="Times New Roman"/>
          <w:lang w:val="en-US"/>
        </w:rPr>
        <w:t xml:space="preserve"> 519-578.</w:t>
      </w:r>
    </w:p>
    <w:p w14:paraId="2C80BF5C" w14:textId="7FC5C380" w:rsidR="00513F69" w:rsidRDefault="00513F69" w:rsidP="00E11D35">
      <w:pPr>
        <w:spacing w:after="120" w:line="360" w:lineRule="auto"/>
        <w:jc w:val="both"/>
        <w:rPr>
          <w:rFonts w:ascii="Times New Roman" w:hAnsi="Times New Roman" w:cs="Times New Roman"/>
          <w:lang w:val="en-US"/>
        </w:rPr>
      </w:pPr>
      <w:proofErr w:type="spellStart"/>
      <w:r w:rsidRPr="0055775E">
        <w:rPr>
          <w:rFonts w:ascii="Times New Roman" w:hAnsi="Times New Roman" w:cs="Times New Roman"/>
          <w:b/>
          <w:lang w:val="en-US"/>
        </w:rPr>
        <w:lastRenderedPageBreak/>
        <w:t>Zucman</w:t>
      </w:r>
      <w:proofErr w:type="spellEnd"/>
      <w:r w:rsidRPr="0055775E">
        <w:rPr>
          <w:rFonts w:ascii="Times New Roman" w:hAnsi="Times New Roman" w:cs="Times New Roman"/>
          <w:b/>
          <w:lang w:val="en-US"/>
        </w:rPr>
        <w:t>, Gabriel.</w:t>
      </w:r>
      <w:r>
        <w:rPr>
          <w:rFonts w:ascii="Times New Roman" w:hAnsi="Times New Roman" w:cs="Times New Roman"/>
          <w:lang w:val="en-US"/>
        </w:rPr>
        <w:t xml:space="preserve"> 2019. “</w:t>
      </w:r>
      <w:r w:rsidR="00A85AE2">
        <w:rPr>
          <w:rFonts w:ascii="Times New Roman" w:hAnsi="Times New Roman" w:cs="Times New Roman"/>
          <w:lang w:val="en-US"/>
        </w:rPr>
        <w:t>Global Wealth Inequality.</w:t>
      </w:r>
      <w:r>
        <w:rPr>
          <w:rFonts w:ascii="Times New Roman" w:hAnsi="Times New Roman" w:cs="Times New Roman"/>
          <w:lang w:val="en-US"/>
        </w:rPr>
        <w:t>”</w:t>
      </w:r>
      <w:r w:rsidRPr="00513F69">
        <w:rPr>
          <w:rFonts w:ascii="Times New Roman" w:hAnsi="Times New Roman" w:cs="Times New Roman"/>
          <w:lang w:val="en-US"/>
        </w:rPr>
        <w:t xml:space="preserve"> </w:t>
      </w:r>
      <w:r w:rsidRPr="007F70D6">
        <w:rPr>
          <w:rFonts w:ascii="Times New Roman" w:hAnsi="Times New Roman" w:cs="Times New Roman"/>
          <w:i/>
          <w:lang w:val="en-US"/>
        </w:rPr>
        <w:t>Annua</w:t>
      </w:r>
      <w:r w:rsidR="00F158DD" w:rsidRPr="007F70D6">
        <w:rPr>
          <w:rFonts w:ascii="Times New Roman" w:hAnsi="Times New Roman" w:cs="Times New Roman"/>
          <w:i/>
          <w:lang w:val="en-US"/>
        </w:rPr>
        <w:t>l Review of Economics</w:t>
      </w:r>
      <w:r w:rsidR="00F158DD">
        <w:rPr>
          <w:rFonts w:ascii="Times New Roman" w:hAnsi="Times New Roman" w:cs="Times New Roman"/>
          <w:lang w:val="en-US"/>
        </w:rPr>
        <w:t xml:space="preserve"> </w:t>
      </w:r>
      <w:r w:rsidR="005F2D4E">
        <w:rPr>
          <w:rFonts w:ascii="Times New Roman" w:hAnsi="Times New Roman" w:cs="Times New Roman"/>
          <w:lang w:val="en-US"/>
        </w:rPr>
        <w:t>11, forthcoming.</w:t>
      </w:r>
    </w:p>
    <w:p w14:paraId="4E5D3908" w14:textId="66565D59" w:rsidR="00A85AE2" w:rsidRDefault="00A85AE2">
      <w:pPr>
        <w:rPr>
          <w:rFonts w:ascii="Times New Roman" w:hAnsi="Times New Roman" w:cs="Times New Roman"/>
          <w:lang w:val="en-US"/>
        </w:rPr>
      </w:pPr>
      <w:r>
        <w:rPr>
          <w:rFonts w:ascii="Times New Roman" w:hAnsi="Times New Roman" w:cs="Times New Roman"/>
          <w:lang w:val="en-US"/>
        </w:rPr>
        <w:br w:type="page"/>
      </w:r>
    </w:p>
    <w:p w14:paraId="1A480DB4" w14:textId="77777777" w:rsidR="005C41C1" w:rsidRDefault="005C41C1" w:rsidP="00E11D35">
      <w:pPr>
        <w:spacing w:after="120" w:line="360" w:lineRule="auto"/>
        <w:jc w:val="both"/>
        <w:rPr>
          <w:rFonts w:ascii="Times New Roman" w:hAnsi="Times New Roman" w:cs="Times New Roman"/>
          <w:lang w:val="en-US"/>
        </w:rPr>
      </w:pPr>
    </w:p>
    <w:p w14:paraId="6AD1E975" w14:textId="77777777" w:rsidR="008D64DD" w:rsidRDefault="008D64DD" w:rsidP="008D64DD">
      <w:pPr>
        <w:spacing w:after="120" w:line="360" w:lineRule="auto"/>
        <w:jc w:val="both"/>
        <w:rPr>
          <w:rFonts w:ascii="Times New Roman" w:hAnsi="Times New Roman" w:cs="Times New Roman"/>
          <w:b/>
          <w:lang w:val="en-US"/>
        </w:rPr>
      </w:pPr>
    </w:p>
    <w:p w14:paraId="11F6228C" w14:textId="77777777" w:rsidR="008D64DD" w:rsidRDefault="008D64DD" w:rsidP="008D64DD">
      <w:pPr>
        <w:spacing w:after="120" w:line="360" w:lineRule="auto"/>
        <w:jc w:val="both"/>
        <w:rPr>
          <w:rFonts w:ascii="Times New Roman" w:hAnsi="Times New Roman" w:cs="Times New Roman"/>
          <w:b/>
          <w:lang w:val="en-US"/>
        </w:rPr>
      </w:pPr>
    </w:p>
    <w:p w14:paraId="2A97FDD9" w14:textId="5B5D9426" w:rsidR="008D64DD" w:rsidRDefault="00413866" w:rsidP="008D64DD">
      <w:pPr>
        <w:spacing w:after="120" w:line="360" w:lineRule="auto"/>
        <w:jc w:val="both"/>
        <w:rPr>
          <w:rFonts w:ascii="Times New Roman" w:hAnsi="Times New Roman" w:cs="Times New Roman"/>
          <w:b/>
          <w:lang w:val="en-US"/>
        </w:rPr>
      </w:pPr>
      <w:r>
        <w:rPr>
          <w:rFonts w:ascii="Times New Roman" w:hAnsi="Times New Roman" w:cs="Times New Roman"/>
          <w:b/>
          <w:noProof/>
          <w:lang w:val="en-US"/>
        </w:rPr>
        <w:drawing>
          <wp:inline distT="0" distB="0" distL="0" distR="0" wp14:anchorId="5A639B9A" wp14:editId="63C56DA1">
            <wp:extent cx="5486400" cy="3733800"/>
            <wp:effectExtent l="0" t="0" r="0" b="0"/>
            <wp:docPr id="6" name="Picture 6" descr="Macintosh HD:Users:manu:Dropbox:manu:referees:QJE:2017-AutenSplinter: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nu:Dropbox:manu:referees:QJE:2017-AutenSplinter:fig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733800"/>
                    </a:xfrm>
                    <a:prstGeom prst="rect">
                      <a:avLst/>
                    </a:prstGeom>
                    <a:noFill/>
                    <a:ln>
                      <a:noFill/>
                    </a:ln>
                  </pic:spPr>
                </pic:pic>
              </a:graphicData>
            </a:graphic>
          </wp:inline>
        </w:drawing>
      </w:r>
    </w:p>
    <w:p w14:paraId="576F6D26" w14:textId="050E6E9B" w:rsidR="008D64DD" w:rsidRDefault="00975AC1" w:rsidP="009E2E85">
      <w:pPr>
        <w:spacing w:after="120" w:line="360" w:lineRule="auto"/>
        <w:jc w:val="both"/>
        <w:outlineLvl w:val="0"/>
        <w:rPr>
          <w:rFonts w:ascii="Times New Roman" w:hAnsi="Times New Roman" w:cs="Times New Roman"/>
          <w:b/>
          <w:lang w:val="en-US"/>
        </w:rPr>
      </w:pPr>
      <w:r>
        <w:rPr>
          <w:rFonts w:ascii="Times New Roman" w:hAnsi="Times New Roman" w:cs="Times New Roman"/>
          <w:b/>
          <w:lang w:val="en-US"/>
        </w:rPr>
        <w:t>Figure 1</w:t>
      </w:r>
      <w:r w:rsidR="008D64DD" w:rsidRPr="004D5857">
        <w:rPr>
          <w:rFonts w:ascii="Times New Roman" w:hAnsi="Times New Roman" w:cs="Times New Roman"/>
          <w:b/>
          <w:lang w:val="en-US"/>
        </w:rPr>
        <w:t xml:space="preserve">. </w:t>
      </w:r>
      <w:r w:rsidR="00E33632">
        <w:rPr>
          <w:rFonts w:ascii="Times New Roman" w:hAnsi="Times New Roman" w:cs="Times New Roman"/>
          <w:b/>
          <w:lang w:val="en-US"/>
        </w:rPr>
        <w:t>Top 1</w:t>
      </w:r>
      <w:r w:rsidR="009E2E85">
        <w:rPr>
          <w:rFonts w:ascii="Times New Roman" w:hAnsi="Times New Roman" w:cs="Times New Roman"/>
          <w:b/>
          <w:lang w:val="en-US"/>
        </w:rPr>
        <w:t xml:space="preserve"> percent</w:t>
      </w:r>
      <w:r w:rsidR="00E33632">
        <w:rPr>
          <w:rFonts w:ascii="Times New Roman" w:hAnsi="Times New Roman" w:cs="Times New Roman"/>
          <w:b/>
          <w:lang w:val="en-US"/>
        </w:rPr>
        <w:t xml:space="preserve"> income shares</w:t>
      </w:r>
      <w:r w:rsidR="008D64DD">
        <w:rPr>
          <w:rFonts w:ascii="Times New Roman" w:hAnsi="Times New Roman" w:cs="Times New Roman"/>
          <w:b/>
          <w:lang w:val="en-US"/>
        </w:rPr>
        <w:t>, 196</w:t>
      </w:r>
      <w:r w:rsidR="008D64DD" w:rsidRPr="004D5857">
        <w:rPr>
          <w:rFonts w:ascii="Times New Roman" w:hAnsi="Times New Roman" w:cs="Times New Roman"/>
          <w:b/>
          <w:lang w:val="en-US"/>
        </w:rPr>
        <w:t>0-2016</w:t>
      </w:r>
    </w:p>
    <w:p w14:paraId="2E8DFF5F" w14:textId="77777777" w:rsidR="00D20B2B" w:rsidRDefault="008D64DD" w:rsidP="001164C0">
      <w:pPr>
        <w:spacing w:after="120" w:line="360" w:lineRule="auto"/>
        <w:jc w:val="both"/>
        <w:rPr>
          <w:rFonts w:ascii="Times New Roman" w:hAnsi="Times New Roman" w:cs="Times New Roman"/>
          <w:sz w:val="20"/>
          <w:szCs w:val="20"/>
          <w:lang w:val="en-US"/>
        </w:rPr>
      </w:pPr>
      <w:r w:rsidRPr="001A3F8E">
        <w:rPr>
          <w:rFonts w:ascii="Times New Roman" w:hAnsi="Times New Roman" w:cs="Times New Roman"/>
          <w:i/>
          <w:sz w:val="20"/>
          <w:szCs w:val="20"/>
          <w:lang w:val="en-US"/>
        </w:rPr>
        <w:t xml:space="preserve">Notes: </w:t>
      </w:r>
      <w:r w:rsidR="00F16DCB">
        <w:rPr>
          <w:rFonts w:ascii="Times New Roman" w:hAnsi="Times New Roman" w:cs="Times New Roman"/>
          <w:sz w:val="20"/>
          <w:szCs w:val="20"/>
          <w:lang w:val="en-US"/>
        </w:rPr>
        <w:t>This figure displays</w:t>
      </w:r>
      <w:r w:rsidR="000A2161">
        <w:rPr>
          <w:rFonts w:ascii="Times New Roman" w:hAnsi="Times New Roman" w:cs="Times New Roman"/>
          <w:sz w:val="20"/>
          <w:szCs w:val="20"/>
          <w:lang w:val="en-US"/>
        </w:rPr>
        <w:t xml:space="preserve"> (a) the top 1</w:t>
      </w:r>
      <w:r w:rsidR="009E2E85">
        <w:rPr>
          <w:rFonts w:ascii="Times New Roman" w:hAnsi="Times New Roman" w:cs="Times New Roman"/>
          <w:sz w:val="20"/>
          <w:szCs w:val="20"/>
          <w:lang w:val="en-US"/>
        </w:rPr>
        <w:t xml:space="preserve"> percent</w:t>
      </w:r>
      <w:r w:rsidR="000A2161">
        <w:rPr>
          <w:rFonts w:ascii="Times New Roman" w:hAnsi="Times New Roman" w:cs="Times New Roman"/>
          <w:sz w:val="20"/>
          <w:szCs w:val="20"/>
          <w:lang w:val="en-US"/>
        </w:rPr>
        <w:t xml:space="preserve"> fiscal income share from </w:t>
      </w:r>
      <w:proofErr w:type="spellStart"/>
      <w:r w:rsidR="000A2161">
        <w:rPr>
          <w:rFonts w:ascii="Times New Roman" w:hAnsi="Times New Roman" w:cs="Times New Roman"/>
          <w:sz w:val="20"/>
          <w:szCs w:val="20"/>
          <w:lang w:val="en-US"/>
        </w:rPr>
        <w:t>Piketty</w:t>
      </w:r>
      <w:proofErr w:type="spellEnd"/>
      <w:r w:rsidR="000A2161">
        <w:rPr>
          <w:rFonts w:ascii="Times New Roman" w:hAnsi="Times New Roman" w:cs="Times New Roman"/>
          <w:sz w:val="20"/>
          <w:szCs w:val="20"/>
          <w:lang w:val="en-US"/>
        </w:rPr>
        <w:t xml:space="preserve"> and Saez (2003) using tax units and pre-tax fiscal income</w:t>
      </w:r>
      <w:r w:rsidR="008625AC">
        <w:rPr>
          <w:rFonts w:ascii="Times New Roman" w:hAnsi="Times New Roman" w:cs="Times New Roman"/>
          <w:sz w:val="20"/>
          <w:szCs w:val="20"/>
          <w:lang w:val="en-US"/>
        </w:rPr>
        <w:t xml:space="preserve"> excluding capital gains</w:t>
      </w:r>
      <w:r w:rsidR="000A2161">
        <w:rPr>
          <w:rFonts w:ascii="Times New Roman" w:hAnsi="Times New Roman" w:cs="Times New Roman"/>
          <w:sz w:val="20"/>
          <w:szCs w:val="20"/>
          <w:lang w:val="en-US"/>
        </w:rPr>
        <w:t>, (b</w:t>
      </w:r>
      <w:r w:rsidR="00F815B4">
        <w:rPr>
          <w:rFonts w:ascii="Times New Roman" w:hAnsi="Times New Roman" w:cs="Times New Roman"/>
          <w:sz w:val="20"/>
          <w:szCs w:val="20"/>
          <w:lang w:val="en-US"/>
        </w:rPr>
        <w:t xml:space="preserve">) </w:t>
      </w:r>
      <w:r w:rsidR="00F16DCB">
        <w:rPr>
          <w:rFonts w:ascii="Times New Roman" w:hAnsi="Times New Roman" w:cs="Times New Roman"/>
          <w:sz w:val="20"/>
          <w:szCs w:val="20"/>
          <w:lang w:val="en-US"/>
        </w:rPr>
        <w:t>the top 1</w:t>
      </w:r>
      <w:r w:rsidR="009E2E85">
        <w:rPr>
          <w:rFonts w:ascii="Times New Roman" w:hAnsi="Times New Roman" w:cs="Times New Roman"/>
          <w:sz w:val="20"/>
          <w:szCs w:val="20"/>
          <w:lang w:val="en-US"/>
        </w:rPr>
        <w:t xml:space="preserve"> percent</w:t>
      </w:r>
      <w:r w:rsidR="00F16DCB">
        <w:rPr>
          <w:rFonts w:ascii="Times New Roman" w:hAnsi="Times New Roman" w:cs="Times New Roman"/>
          <w:sz w:val="20"/>
          <w:szCs w:val="20"/>
          <w:lang w:val="en-US"/>
        </w:rPr>
        <w:t xml:space="preserve"> income share from </w:t>
      </w:r>
      <w:proofErr w:type="spellStart"/>
      <w:r w:rsidR="00F16DCB">
        <w:rPr>
          <w:rFonts w:ascii="Times New Roman" w:hAnsi="Times New Roman" w:cs="Times New Roman"/>
          <w:sz w:val="20"/>
          <w:szCs w:val="20"/>
          <w:lang w:val="en-US"/>
        </w:rPr>
        <w:t>Piketty</w:t>
      </w:r>
      <w:proofErr w:type="spellEnd"/>
      <w:r w:rsidR="00F16DCB">
        <w:rPr>
          <w:rFonts w:ascii="Times New Roman" w:hAnsi="Times New Roman" w:cs="Times New Roman"/>
          <w:sz w:val="20"/>
          <w:szCs w:val="20"/>
          <w:lang w:val="en-US"/>
        </w:rPr>
        <w:t xml:space="preserve">, Saez, </w:t>
      </w:r>
      <w:proofErr w:type="spellStart"/>
      <w:r w:rsidR="00F16DCB">
        <w:rPr>
          <w:rFonts w:ascii="Times New Roman" w:hAnsi="Times New Roman" w:cs="Times New Roman"/>
          <w:sz w:val="20"/>
          <w:szCs w:val="20"/>
          <w:lang w:val="en-US"/>
        </w:rPr>
        <w:t>Zucman</w:t>
      </w:r>
      <w:proofErr w:type="spellEnd"/>
      <w:r w:rsidR="00F16DCB">
        <w:rPr>
          <w:rFonts w:ascii="Times New Roman" w:hAnsi="Times New Roman" w:cs="Times New Roman"/>
          <w:sz w:val="20"/>
          <w:szCs w:val="20"/>
          <w:lang w:val="en-US"/>
        </w:rPr>
        <w:t xml:space="preserve"> (2018) (PSZ) using tax units </w:t>
      </w:r>
      <w:r w:rsidR="00F815B4">
        <w:rPr>
          <w:rFonts w:ascii="Times New Roman" w:hAnsi="Times New Roman" w:cs="Times New Roman"/>
          <w:sz w:val="20"/>
          <w:szCs w:val="20"/>
          <w:lang w:val="en-US"/>
        </w:rPr>
        <w:t>and pre-tax national inc</w:t>
      </w:r>
      <w:r w:rsidR="00F07616">
        <w:rPr>
          <w:rFonts w:ascii="Times New Roman" w:hAnsi="Times New Roman" w:cs="Times New Roman"/>
          <w:sz w:val="20"/>
          <w:szCs w:val="20"/>
          <w:lang w:val="en-US"/>
        </w:rPr>
        <w:t>ome,</w:t>
      </w:r>
      <w:r w:rsidR="007E509B">
        <w:rPr>
          <w:rFonts w:ascii="Times New Roman" w:hAnsi="Times New Roman" w:cs="Times New Roman"/>
          <w:sz w:val="20"/>
          <w:szCs w:val="20"/>
          <w:lang w:val="en-US"/>
        </w:rPr>
        <w:t xml:space="preserve"> (c) the top 1</w:t>
      </w:r>
      <w:r w:rsidR="009E2E85">
        <w:rPr>
          <w:rFonts w:ascii="Times New Roman" w:hAnsi="Times New Roman" w:cs="Times New Roman"/>
          <w:sz w:val="20"/>
          <w:szCs w:val="20"/>
          <w:lang w:val="en-US"/>
        </w:rPr>
        <w:t xml:space="preserve"> percent</w:t>
      </w:r>
      <w:r w:rsidR="007E509B">
        <w:rPr>
          <w:rFonts w:ascii="Times New Roman" w:hAnsi="Times New Roman" w:cs="Times New Roman"/>
          <w:sz w:val="20"/>
          <w:szCs w:val="20"/>
          <w:lang w:val="en-US"/>
        </w:rPr>
        <w:t xml:space="preserve"> income share from </w:t>
      </w:r>
      <w:proofErr w:type="spellStart"/>
      <w:r w:rsidR="007E509B">
        <w:rPr>
          <w:rFonts w:ascii="Times New Roman" w:hAnsi="Times New Roman" w:cs="Times New Roman"/>
          <w:sz w:val="20"/>
          <w:szCs w:val="20"/>
          <w:lang w:val="en-US"/>
        </w:rPr>
        <w:t>Piketty</w:t>
      </w:r>
      <w:proofErr w:type="spellEnd"/>
      <w:r w:rsidR="007E509B">
        <w:rPr>
          <w:rFonts w:ascii="Times New Roman" w:hAnsi="Times New Roman" w:cs="Times New Roman"/>
          <w:sz w:val="20"/>
          <w:szCs w:val="20"/>
          <w:lang w:val="en-US"/>
        </w:rPr>
        <w:t xml:space="preserve">, Saez, </w:t>
      </w:r>
      <w:proofErr w:type="spellStart"/>
      <w:r w:rsidR="007E509B">
        <w:rPr>
          <w:rFonts w:ascii="Times New Roman" w:hAnsi="Times New Roman" w:cs="Times New Roman"/>
          <w:sz w:val="20"/>
          <w:szCs w:val="20"/>
          <w:lang w:val="en-US"/>
        </w:rPr>
        <w:t>Zucman</w:t>
      </w:r>
      <w:proofErr w:type="spellEnd"/>
      <w:r w:rsidR="007E509B">
        <w:rPr>
          <w:rFonts w:ascii="Times New Roman" w:hAnsi="Times New Roman" w:cs="Times New Roman"/>
          <w:sz w:val="20"/>
          <w:szCs w:val="20"/>
          <w:lang w:val="en-US"/>
        </w:rPr>
        <w:t xml:space="preserve"> (2018) (PSZ) using </w:t>
      </w:r>
      <w:r w:rsidR="00204BAF">
        <w:rPr>
          <w:rFonts w:ascii="Times New Roman" w:hAnsi="Times New Roman" w:cs="Times New Roman"/>
          <w:sz w:val="20"/>
          <w:szCs w:val="20"/>
          <w:lang w:val="en-US"/>
        </w:rPr>
        <w:t>the individual adult unit (with equal split of income within married couples)</w:t>
      </w:r>
      <w:r w:rsidR="007E509B">
        <w:rPr>
          <w:rFonts w:ascii="Times New Roman" w:hAnsi="Times New Roman" w:cs="Times New Roman"/>
          <w:sz w:val="20"/>
          <w:szCs w:val="20"/>
          <w:lang w:val="en-US"/>
        </w:rPr>
        <w:t xml:space="preserve"> and pre-tax national income, </w:t>
      </w:r>
      <w:r w:rsidR="00F07616">
        <w:rPr>
          <w:rFonts w:ascii="Times New Roman" w:hAnsi="Times New Roman" w:cs="Times New Roman"/>
          <w:sz w:val="20"/>
          <w:szCs w:val="20"/>
          <w:lang w:val="en-US"/>
        </w:rPr>
        <w:t xml:space="preserve"> </w:t>
      </w:r>
      <w:r w:rsidR="006766A5">
        <w:rPr>
          <w:rFonts w:ascii="Times New Roman" w:hAnsi="Times New Roman" w:cs="Times New Roman"/>
          <w:sz w:val="20"/>
          <w:szCs w:val="20"/>
          <w:lang w:val="en-US"/>
        </w:rPr>
        <w:t>(d</w:t>
      </w:r>
      <w:r w:rsidR="00F815B4">
        <w:rPr>
          <w:rFonts w:ascii="Times New Roman" w:hAnsi="Times New Roman" w:cs="Times New Roman"/>
          <w:sz w:val="20"/>
          <w:szCs w:val="20"/>
          <w:lang w:val="en-US"/>
        </w:rPr>
        <w:t>) the top 1</w:t>
      </w:r>
      <w:r w:rsidR="009E2E85">
        <w:rPr>
          <w:rFonts w:ascii="Times New Roman" w:hAnsi="Times New Roman" w:cs="Times New Roman"/>
          <w:sz w:val="20"/>
          <w:szCs w:val="20"/>
          <w:lang w:val="en-US"/>
        </w:rPr>
        <w:t xml:space="preserve"> percent</w:t>
      </w:r>
      <w:r w:rsidR="00F815B4">
        <w:rPr>
          <w:rFonts w:ascii="Times New Roman" w:hAnsi="Times New Roman" w:cs="Times New Roman"/>
          <w:sz w:val="20"/>
          <w:szCs w:val="20"/>
          <w:lang w:val="en-US"/>
        </w:rPr>
        <w:t xml:space="preserve"> pre-tax income share from </w:t>
      </w:r>
      <w:proofErr w:type="spellStart"/>
      <w:r w:rsidR="00F815B4">
        <w:rPr>
          <w:rFonts w:ascii="Times New Roman" w:hAnsi="Times New Roman" w:cs="Times New Roman"/>
          <w:sz w:val="20"/>
          <w:szCs w:val="20"/>
          <w:lang w:val="en-US"/>
        </w:rPr>
        <w:t>Auten</w:t>
      </w:r>
      <w:proofErr w:type="spellEnd"/>
      <w:r w:rsidR="00F815B4">
        <w:rPr>
          <w:rFonts w:ascii="Times New Roman" w:hAnsi="Times New Roman" w:cs="Times New Roman"/>
          <w:sz w:val="20"/>
          <w:szCs w:val="20"/>
          <w:lang w:val="en-US"/>
        </w:rPr>
        <w:t xml:space="preserve"> and Splinter (2018) using </w:t>
      </w:r>
      <w:r w:rsidR="00157392">
        <w:rPr>
          <w:rFonts w:ascii="Times New Roman" w:hAnsi="Times New Roman" w:cs="Times New Roman"/>
          <w:sz w:val="20"/>
          <w:szCs w:val="20"/>
          <w:lang w:val="en-US"/>
        </w:rPr>
        <w:t xml:space="preserve">the </w:t>
      </w:r>
      <w:r w:rsidR="009F7355">
        <w:rPr>
          <w:rFonts w:ascii="Times New Roman" w:hAnsi="Times New Roman" w:cs="Times New Roman"/>
          <w:sz w:val="20"/>
          <w:szCs w:val="20"/>
          <w:lang w:val="en-US"/>
        </w:rPr>
        <w:t>individual adult u</w:t>
      </w:r>
      <w:r w:rsidR="00F46914">
        <w:rPr>
          <w:rFonts w:ascii="Times New Roman" w:hAnsi="Times New Roman" w:cs="Times New Roman"/>
          <w:sz w:val="20"/>
          <w:szCs w:val="20"/>
          <w:lang w:val="en-US"/>
        </w:rPr>
        <w:t>nit and pre-tax national income</w:t>
      </w:r>
      <w:r w:rsidR="0054301B">
        <w:rPr>
          <w:rFonts w:ascii="Times New Roman" w:hAnsi="Times New Roman" w:cs="Times New Roman"/>
          <w:sz w:val="20"/>
          <w:szCs w:val="20"/>
          <w:lang w:val="en-US"/>
        </w:rPr>
        <w:t>.</w:t>
      </w:r>
      <w:r w:rsidR="004D4133">
        <w:rPr>
          <w:rFonts w:ascii="Times New Roman" w:hAnsi="Times New Roman" w:cs="Times New Roman"/>
          <w:sz w:val="20"/>
          <w:szCs w:val="20"/>
          <w:lang w:val="en-US"/>
        </w:rPr>
        <w:t xml:space="preserve"> This paper shows how to reproduce approximately the </w:t>
      </w:r>
      <w:proofErr w:type="spellStart"/>
      <w:r w:rsidR="004D4133">
        <w:rPr>
          <w:rFonts w:ascii="Times New Roman" w:hAnsi="Times New Roman" w:cs="Times New Roman"/>
          <w:sz w:val="20"/>
          <w:szCs w:val="20"/>
          <w:lang w:val="en-US"/>
        </w:rPr>
        <w:t>Piketty</w:t>
      </w:r>
      <w:proofErr w:type="spellEnd"/>
      <w:r w:rsidR="004D4133">
        <w:rPr>
          <w:rFonts w:ascii="Times New Roman" w:hAnsi="Times New Roman" w:cs="Times New Roman"/>
          <w:sz w:val="20"/>
          <w:szCs w:val="20"/>
          <w:lang w:val="en-US"/>
        </w:rPr>
        <w:t xml:space="preserve">, Saez, </w:t>
      </w:r>
      <w:proofErr w:type="spellStart"/>
      <w:r w:rsidR="004D4133">
        <w:rPr>
          <w:rFonts w:ascii="Times New Roman" w:hAnsi="Times New Roman" w:cs="Times New Roman"/>
          <w:sz w:val="20"/>
          <w:szCs w:val="20"/>
          <w:lang w:val="en-US"/>
        </w:rPr>
        <w:t>Zucman</w:t>
      </w:r>
      <w:proofErr w:type="spellEnd"/>
      <w:r w:rsidR="004D4133">
        <w:rPr>
          <w:rFonts w:ascii="Times New Roman" w:hAnsi="Times New Roman" w:cs="Times New Roman"/>
          <w:sz w:val="20"/>
          <w:szCs w:val="20"/>
          <w:lang w:val="en-US"/>
        </w:rPr>
        <w:t xml:space="preserve"> and </w:t>
      </w:r>
      <w:proofErr w:type="spellStart"/>
      <w:r w:rsidR="004D4133">
        <w:rPr>
          <w:rFonts w:ascii="Times New Roman" w:hAnsi="Times New Roman" w:cs="Times New Roman"/>
          <w:sz w:val="20"/>
          <w:szCs w:val="20"/>
          <w:lang w:val="en-US"/>
        </w:rPr>
        <w:t>Auten</w:t>
      </w:r>
      <w:proofErr w:type="spellEnd"/>
      <w:r w:rsidR="004D4133">
        <w:rPr>
          <w:rFonts w:ascii="Times New Roman" w:hAnsi="Times New Roman" w:cs="Times New Roman"/>
          <w:sz w:val="20"/>
          <w:szCs w:val="20"/>
          <w:lang w:val="en-US"/>
        </w:rPr>
        <w:t xml:space="preserve"> and Splinter series starting from the </w:t>
      </w:r>
      <w:proofErr w:type="spellStart"/>
      <w:r w:rsidR="004D4133">
        <w:rPr>
          <w:rFonts w:ascii="Times New Roman" w:hAnsi="Times New Roman" w:cs="Times New Roman"/>
          <w:sz w:val="20"/>
          <w:szCs w:val="20"/>
          <w:lang w:val="en-US"/>
        </w:rPr>
        <w:t>Piketty</w:t>
      </w:r>
      <w:proofErr w:type="spellEnd"/>
      <w:r w:rsidR="004D4133">
        <w:rPr>
          <w:rFonts w:ascii="Times New Roman" w:hAnsi="Times New Roman" w:cs="Times New Roman"/>
          <w:sz w:val="20"/>
          <w:szCs w:val="20"/>
          <w:lang w:val="en-US"/>
        </w:rPr>
        <w:t xml:space="preserve"> and Saez fiscal income series</w:t>
      </w:r>
      <w:r w:rsidR="00DD652F">
        <w:rPr>
          <w:rFonts w:ascii="Times New Roman" w:hAnsi="Times New Roman" w:cs="Times New Roman"/>
          <w:sz w:val="20"/>
          <w:szCs w:val="20"/>
          <w:lang w:val="en-US"/>
        </w:rPr>
        <w:t xml:space="preserve"> and making simple assumptions on how non-taxable income is distributed.</w:t>
      </w:r>
    </w:p>
    <w:p w14:paraId="7FBD40EF" w14:textId="66F07DCE" w:rsidR="00E56439" w:rsidRPr="001164C0" w:rsidRDefault="00D20B2B" w:rsidP="001164C0">
      <w:pPr>
        <w:spacing w:after="120" w:line="360" w:lineRule="auto"/>
        <w:jc w:val="both"/>
        <w:rPr>
          <w:rFonts w:ascii="Times New Roman" w:hAnsi="Times New Roman" w:cs="Times New Roman"/>
          <w:b/>
          <w:lang w:val="en-US"/>
        </w:rPr>
      </w:pPr>
      <w:r w:rsidRPr="001A3F8E">
        <w:rPr>
          <w:rFonts w:ascii="Times New Roman" w:hAnsi="Times New Roman" w:cs="Times New Roman"/>
          <w:i/>
          <w:sz w:val="20"/>
          <w:szCs w:val="20"/>
          <w:lang w:val="en-US"/>
        </w:rPr>
        <w:t>Source:</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Piketty</w:t>
      </w:r>
      <w:proofErr w:type="spellEnd"/>
      <w:r>
        <w:rPr>
          <w:rFonts w:ascii="Times New Roman" w:hAnsi="Times New Roman" w:cs="Times New Roman"/>
          <w:sz w:val="20"/>
          <w:szCs w:val="20"/>
          <w:lang w:val="en-US"/>
        </w:rPr>
        <w:t xml:space="preserve"> and Saez (2003), </w:t>
      </w:r>
      <w:proofErr w:type="spellStart"/>
      <w:r>
        <w:rPr>
          <w:rFonts w:ascii="Times New Roman" w:hAnsi="Times New Roman" w:cs="Times New Roman"/>
          <w:sz w:val="20"/>
          <w:szCs w:val="20"/>
          <w:lang w:val="en-US"/>
        </w:rPr>
        <w:t>Piketty</w:t>
      </w:r>
      <w:proofErr w:type="spellEnd"/>
      <w:r>
        <w:rPr>
          <w:rFonts w:ascii="Times New Roman" w:hAnsi="Times New Roman" w:cs="Times New Roman"/>
          <w:sz w:val="20"/>
          <w:szCs w:val="20"/>
          <w:lang w:val="en-US"/>
        </w:rPr>
        <w:t xml:space="preserve">, Saez, and </w:t>
      </w:r>
      <w:proofErr w:type="spellStart"/>
      <w:r>
        <w:rPr>
          <w:rFonts w:ascii="Times New Roman" w:hAnsi="Times New Roman" w:cs="Times New Roman"/>
          <w:sz w:val="20"/>
          <w:szCs w:val="20"/>
          <w:lang w:val="en-US"/>
        </w:rPr>
        <w:t>Zucman</w:t>
      </w:r>
      <w:proofErr w:type="spellEnd"/>
      <w:r>
        <w:rPr>
          <w:rFonts w:ascii="Times New Roman" w:hAnsi="Times New Roman" w:cs="Times New Roman"/>
          <w:sz w:val="20"/>
          <w:szCs w:val="20"/>
          <w:lang w:val="en-US"/>
        </w:rPr>
        <w:t xml:space="preserve"> (2018), </w:t>
      </w:r>
      <w:proofErr w:type="spellStart"/>
      <w:r>
        <w:rPr>
          <w:rFonts w:ascii="Times New Roman" w:hAnsi="Times New Roman" w:cs="Times New Roman"/>
          <w:sz w:val="20"/>
          <w:szCs w:val="20"/>
          <w:lang w:val="en-US"/>
        </w:rPr>
        <w:t>Auten</w:t>
      </w:r>
      <w:proofErr w:type="spellEnd"/>
      <w:r>
        <w:rPr>
          <w:rFonts w:ascii="Times New Roman" w:hAnsi="Times New Roman" w:cs="Times New Roman"/>
          <w:sz w:val="20"/>
          <w:szCs w:val="20"/>
          <w:lang w:val="en-US"/>
        </w:rPr>
        <w:t xml:space="preserve"> and Splinter (2018).</w:t>
      </w:r>
      <w:r w:rsidR="0063132E">
        <w:rPr>
          <w:rFonts w:ascii="Times New Roman" w:hAnsi="Times New Roman" w:cs="Times New Roman"/>
          <w:lang w:val="en-US"/>
        </w:rPr>
        <w:br w:type="page"/>
      </w:r>
    </w:p>
    <w:p w14:paraId="755EB2B1" w14:textId="12D249AC" w:rsidR="00932F7C" w:rsidRDefault="00932F7C" w:rsidP="008A720A">
      <w:pPr>
        <w:spacing w:after="120" w:line="360" w:lineRule="auto"/>
        <w:jc w:val="both"/>
        <w:rPr>
          <w:rFonts w:ascii="Times New Roman" w:hAnsi="Times New Roman" w:cs="Times New Roman"/>
          <w:b/>
          <w:lang w:val="en-US"/>
        </w:rPr>
      </w:pPr>
      <w:r>
        <w:rPr>
          <w:rFonts w:ascii="Times New Roman" w:hAnsi="Times New Roman" w:cs="Times New Roman"/>
          <w:b/>
          <w:noProof/>
          <w:lang w:val="en-US"/>
        </w:rPr>
        <w:lastRenderedPageBreak/>
        <w:drawing>
          <wp:inline distT="0" distB="0" distL="0" distR="0" wp14:anchorId="239047C8" wp14:editId="59440B00">
            <wp:extent cx="5067698" cy="3086100"/>
            <wp:effectExtent l="0" t="0" r="12700" b="0"/>
            <wp:docPr id="2" name="Picture 2" descr="Macintosh HD:Users:manu:Dropbox:manu:referees:QJE:2017-AutenSplinter:fig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nu:Dropbox:manu:referees:QJE:2017-AutenSplinter:fig2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70413" cy="3087754"/>
                    </a:xfrm>
                    <a:prstGeom prst="rect">
                      <a:avLst/>
                    </a:prstGeom>
                    <a:noFill/>
                    <a:ln>
                      <a:noFill/>
                    </a:ln>
                  </pic:spPr>
                </pic:pic>
              </a:graphicData>
            </a:graphic>
          </wp:inline>
        </w:drawing>
      </w:r>
      <w:r w:rsidR="0057181D" w:rsidRPr="0057181D">
        <w:rPr>
          <w:rFonts w:ascii="Times New Roman" w:hAnsi="Times New Roman" w:cs="Times New Roman"/>
          <w:b/>
          <w:noProof/>
          <w:lang w:val="en-US"/>
        </w:rPr>
        <w:drawing>
          <wp:inline distT="0" distB="0" distL="0" distR="0" wp14:anchorId="2861185D" wp14:editId="344AC2A2">
            <wp:extent cx="5067701" cy="3086100"/>
            <wp:effectExtent l="0" t="0" r="12700" b="0"/>
            <wp:docPr id="7" name="Picture 7" descr="Macintosh HD:Users:manu:Dropbox:manu:referees:QJE:2017-AutenSplinter:fig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nu:Dropbox:manu:referees:QJE:2017-AutenSplinter:fig2b.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7937" cy="3086244"/>
                    </a:xfrm>
                    <a:prstGeom prst="rect">
                      <a:avLst/>
                    </a:prstGeom>
                    <a:noFill/>
                    <a:ln>
                      <a:noFill/>
                    </a:ln>
                  </pic:spPr>
                </pic:pic>
              </a:graphicData>
            </a:graphic>
          </wp:inline>
        </w:drawing>
      </w:r>
    </w:p>
    <w:p w14:paraId="1801CBB6" w14:textId="2037AC1B" w:rsidR="0082110D" w:rsidRDefault="003324B8" w:rsidP="009E2E85">
      <w:pPr>
        <w:spacing w:after="120" w:line="360" w:lineRule="auto"/>
        <w:jc w:val="both"/>
        <w:outlineLvl w:val="0"/>
        <w:rPr>
          <w:rFonts w:ascii="Times New Roman" w:hAnsi="Times New Roman" w:cs="Times New Roman"/>
          <w:b/>
          <w:lang w:val="en-US"/>
        </w:rPr>
      </w:pPr>
      <w:r>
        <w:rPr>
          <w:rFonts w:ascii="Times New Roman" w:hAnsi="Times New Roman" w:cs="Times New Roman"/>
          <w:b/>
          <w:lang w:val="en-US"/>
        </w:rPr>
        <w:t>Figure 2</w:t>
      </w:r>
      <w:r w:rsidR="00DD5E61" w:rsidRPr="004D5857">
        <w:rPr>
          <w:rFonts w:ascii="Times New Roman" w:hAnsi="Times New Roman" w:cs="Times New Roman"/>
          <w:b/>
          <w:lang w:val="en-US"/>
        </w:rPr>
        <w:t xml:space="preserve">. </w:t>
      </w:r>
      <w:r w:rsidR="00A8123D">
        <w:rPr>
          <w:rFonts w:ascii="Times New Roman" w:hAnsi="Times New Roman" w:cs="Times New Roman"/>
          <w:b/>
          <w:lang w:val="en-US"/>
        </w:rPr>
        <w:t>From taxable to total pre-tax national income</w:t>
      </w:r>
      <w:r w:rsidR="008412BB">
        <w:rPr>
          <w:rFonts w:ascii="Times New Roman" w:hAnsi="Times New Roman" w:cs="Times New Roman"/>
          <w:b/>
          <w:lang w:val="en-US"/>
        </w:rPr>
        <w:t>, 196</w:t>
      </w:r>
      <w:r w:rsidR="00DD5E61" w:rsidRPr="004D5857">
        <w:rPr>
          <w:rFonts w:ascii="Times New Roman" w:hAnsi="Times New Roman" w:cs="Times New Roman"/>
          <w:b/>
          <w:lang w:val="en-US"/>
        </w:rPr>
        <w:t>0-2016</w:t>
      </w:r>
    </w:p>
    <w:p w14:paraId="741F1A41" w14:textId="4F0177FE" w:rsidR="00C618AF" w:rsidRPr="0082110D" w:rsidRDefault="00D53963" w:rsidP="008A720A">
      <w:pPr>
        <w:spacing w:after="120" w:line="360" w:lineRule="auto"/>
        <w:jc w:val="both"/>
        <w:rPr>
          <w:rFonts w:ascii="Times New Roman" w:hAnsi="Times New Roman" w:cs="Times New Roman"/>
          <w:b/>
          <w:lang w:val="en-US"/>
        </w:rPr>
      </w:pPr>
      <w:r w:rsidRPr="0099164A">
        <w:rPr>
          <w:rFonts w:ascii="Times New Roman" w:hAnsi="Times New Roman" w:cs="Times New Roman"/>
          <w:i/>
          <w:sz w:val="20"/>
          <w:szCs w:val="20"/>
          <w:lang w:val="en-US"/>
        </w:rPr>
        <w:t>Notes:</w:t>
      </w:r>
      <w:r w:rsidRPr="0082110D">
        <w:rPr>
          <w:rFonts w:ascii="Times New Roman" w:hAnsi="Times New Roman" w:cs="Times New Roman"/>
          <w:sz w:val="20"/>
          <w:szCs w:val="20"/>
          <w:lang w:val="en-US"/>
        </w:rPr>
        <w:t xml:space="preserve"> </w:t>
      </w:r>
      <w:r w:rsidR="00E10423">
        <w:rPr>
          <w:rFonts w:ascii="Times New Roman" w:hAnsi="Times New Roman" w:cs="Times New Roman"/>
          <w:sz w:val="20"/>
          <w:szCs w:val="20"/>
          <w:lang w:val="en-US"/>
        </w:rPr>
        <w:t>Panel A</w:t>
      </w:r>
      <w:r w:rsidR="004E153C">
        <w:rPr>
          <w:rFonts w:ascii="Times New Roman" w:hAnsi="Times New Roman" w:cs="Times New Roman"/>
          <w:sz w:val="20"/>
          <w:szCs w:val="20"/>
          <w:lang w:val="en-US"/>
        </w:rPr>
        <w:t xml:space="preserve"> decomposes factor-price national income (defined as national income excluding taxes on production and production) into taxable income (reported on tax returns), tax-exempt </w:t>
      </w:r>
      <w:r w:rsidR="00F95651">
        <w:rPr>
          <w:rFonts w:ascii="Times New Roman" w:hAnsi="Times New Roman" w:cs="Times New Roman"/>
          <w:sz w:val="20"/>
          <w:szCs w:val="20"/>
          <w:lang w:val="en-US"/>
        </w:rPr>
        <w:t>labor</w:t>
      </w:r>
      <w:r w:rsidR="004E153C">
        <w:rPr>
          <w:rFonts w:ascii="Times New Roman" w:hAnsi="Times New Roman" w:cs="Times New Roman"/>
          <w:sz w:val="20"/>
          <w:szCs w:val="20"/>
          <w:lang w:val="en-US"/>
        </w:rPr>
        <w:t xml:space="preserve"> income (not reported on tax returns) and tax-exempt </w:t>
      </w:r>
      <w:r w:rsidR="00F95651">
        <w:rPr>
          <w:rFonts w:ascii="Times New Roman" w:hAnsi="Times New Roman" w:cs="Times New Roman"/>
          <w:sz w:val="20"/>
          <w:szCs w:val="20"/>
          <w:lang w:val="en-US"/>
        </w:rPr>
        <w:t>capital</w:t>
      </w:r>
      <w:r w:rsidR="004E153C">
        <w:rPr>
          <w:rFonts w:ascii="Times New Roman" w:hAnsi="Times New Roman" w:cs="Times New Roman"/>
          <w:sz w:val="20"/>
          <w:szCs w:val="20"/>
          <w:lang w:val="en-US"/>
        </w:rPr>
        <w:t xml:space="preserve"> income (not reported on tax returns). </w:t>
      </w:r>
      <w:r w:rsidR="00E10423">
        <w:rPr>
          <w:rFonts w:ascii="Times New Roman" w:hAnsi="Times New Roman" w:cs="Times New Roman"/>
          <w:sz w:val="20"/>
          <w:szCs w:val="20"/>
          <w:lang w:val="en-US"/>
        </w:rPr>
        <w:t xml:space="preserve">Panel B further splits </w:t>
      </w:r>
      <w:r w:rsidR="00FF42BF">
        <w:rPr>
          <w:rFonts w:ascii="Times New Roman" w:hAnsi="Times New Roman" w:cs="Times New Roman"/>
          <w:sz w:val="20"/>
          <w:szCs w:val="20"/>
          <w:lang w:val="en-US"/>
        </w:rPr>
        <w:t>taxable income into taxable labor income and taxable capital income</w:t>
      </w:r>
      <w:r w:rsidR="0057181D">
        <w:rPr>
          <w:rFonts w:ascii="Times New Roman" w:hAnsi="Times New Roman" w:cs="Times New Roman"/>
          <w:sz w:val="20"/>
          <w:szCs w:val="20"/>
          <w:lang w:val="en-US"/>
        </w:rPr>
        <w:t xml:space="preserve"> and </w:t>
      </w:r>
      <w:r w:rsidR="007845E8">
        <w:rPr>
          <w:rFonts w:ascii="Times New Roman" w:hAnsi="Times New Roman" w:cs="Times New Roman"/>
          <w:sz w:val="20"/>
          <w:szCs w:val="20"/>
          <w:lang w:val="en-US"/>
        </w:rPr>
        <w:t>tax-exempt</w:t>
      </w:r>
      <w:r w:rsidR="0057181D">
        <w:rPr>
          <w:rFonts w:ascii="Times New Roman" w:hAnsi="Times New Roman" w:cs="Times New Roman"/>
          <w:sz w:val="20"/>
          <w:szCs w:val="20"/>
          <w:lang w:val="en-US"/>
        </w:rPr>
        <w:t xml:space="preserve"> capital income into tax-exempt capital income in pension funds and other tax-exempt capital income</w:t>
      </w:r>
      <w:r w:rsidR="00FF42BF">
        <w:rPr>
          <w:rFonts w:ascii="Times New Roman" w:hAnsi="Times New Roman" w:cs="Times New Roman"/>
          <w:sz w:val="20"/>
          <w:szCs w:val="20"/>
          <w:lang w:val="en-US"/>
        </w:rPr>
        <w:t xml:space="preserve">. </w:t>
      </w:r>
      <w:r w:rsidR="00617D91">
        <w:rPr>
          <w:rFonts w:ascii="Times New Roman" w:hAnsi="Times New Roman" w:cs="Times New Roman"/>
          <w:sz w:val="20"/>
          <w:szCs w:val="20"/>
          <w:lang w:val="en-US"/>
        </w:rPr>
        <w:t>In both panels, rea</w:t>
      </w:r>
      <w:r w:rsidR="00F17AD7">
        <w:rPr>
          <w:rFonts w:ascii="Times New Roman" w:hAnsi="Times New Roman" w:cs="Times New Roman"/>
          <w:sz w:val="20"/>
          <w:szCs w:val="20"/>
          <w:lang w:val="en-US"/>
        </w:rPr>
        <w:t>lized capital gains are excluded</w:t>
      </w:r>
      <w:r w:rsidR="00617D91">
        <w:rPr>
          <w:rFonts w:ascii="Times New Roman" w:hAnsi="Times New Roman" w:cs="Times New Roman"/>
          <w:sz w:val="20"/>
          <w:szCs w:val="20"/>
          <w:lang w:val="en-US"/>
        </w:rPr>
        <w:t xml:space="preserve"> from taxable income. </w:t>
      </w:r>
      <w:r w:rsidR="00C70597" w:rsidRPr="0099164A">
        <w:rPr>
          <w:rFonts w:ascii="Times New Roman" w:hAnsi="Times New Roman" w:cs="Times New Roman"/>
          <w:i/>
          <w:sz w:val="20"/>
          <w:szCs w:val="20"/>
          <w:lang w:val="en-US"/>
        </w:rPr>
        <w:t xml:space="preserve">Source: </w:t>
      </w:r>
      <w:proofErr w:type="spellStart"/>
      <w:r w:rsidR="00DC3FDA">
        <w:rPr>
          <w:rFonts w:ascii="Times New Roman" w:hAnsi="Times New Roman" w:cs="Times New Roman"/>
          <w:sz w:val="20"/>
          <w:szCs w:val="20"/>
          <w:lang w:val="en-US"/>
        </w:rPr>
        <w:t>Piketty</w:t>
      </w:r>
      <w:proofErr w:type="spellEnd"/>
      <w:r w:rsidR="00DC3FDA">
        <w:rPr>
          <w:rFonts w:ascii="Times New Roman" w:hAnsi="Times New Roman" w:cs="Times New Roman"/>
          <w:sz w:val="20"/>
          <w:szCs w:val="20"/>
          <w:lang w:val="en-US"/>
        </w:rPr>
        <w:t xml:space="preserve">, Saez, and </w:t>
      </w:r>
      <w:proofErr w:type="spellStart"/>
      <w:r w:rsidR="00DC3FDA">
        <w:rPr>
          <w:rFonts w:ascii="Times New Roman" w:hAnsi="Times New Roman" w:cs="Times New Roman"/>
          <w:sz w:val="20"/>
          <w:szCs w:val="20"/>
          <w:lang w:val="en-US"/>
        </w:rPr>
        <w:t>Zucman</w:t>
      </w:r>
      <w:proofErr w:type="spellEnd"/>
      <w:r w:rsidR="00DC3FDA">
        <w:rPr>
          <w:rFonts w:ascii="Times New Roman" w:hAnsi="Times New Roman" w:cs="Times New Roman"/>
          <w:sz w:val="20"/>
          <w:szCs w:val="20"/>
          <w:lang w:val="en-US"/>
        </w:rPr>
        <w:t xml:space="preserve"> (2018)</w:t>
      </w:r>
      <w:r w:rsidR="00EC2703">
        <w:rPr>
          <w:rFonts w:ascii="Times New Roman" w:hAnsi="Times New Roman" w:cs="Times New Roman"/>
          <w:sz w:val="20"/>
          <w:szCs w:val="20"/>
          <w:lang w:val="en-US"/>
        </w:rPr>
        <w:t xml:space="preserve">, </w:t>
      </w:r>
      <w:r w:rsidR="00653154">
        <w:rPr>
          <w:rFonts w:ascii="Times New Roman" w:hAnsi="Times New Roman" w:cs="Times New Roman"/>
          <w:sz w:val="20"/>
          <w:szCs w:val="20"/>
          <w:lang w:val="en-US"/>
        </w:rPr>
        <w:t xml:space="preserve">series </w:t>
      </w:r>
      <w:r w:rsidR="00EC2703">
        <w:rPr>
          <w:rFonts w:ascii="Times New Roman" w:hAnsi="Times New Roman" w:cs="Times New Roman"/>
          <w:sz w:val="20"/>
          <w:szCs w:val="20"/>
          <w:lang w:val="en-US"/>
        </w:rPr>
        <w:t>updated to 2016.</w:t>
      </w:r>
    </w:p>
    <w:p w14:paraId="799D6BEF" w14:textId="77777777" w:rsidR="00FD4812" w:rsidRPr="004D5857" w:rsidRDefault="00FD4812" w:rsidP="008A720A">
      <w:pPr>
        <w:spacing w:after="120" w:line="360" w:lineRule="auto"/>
        <w:jc w:val="both"/>
        <w:rPr>
          <w:rFonts w:ascii="Times New Roman" w:hAnsi="Times New Roman" w:cs="Times New Roman"/>
          <w:b/>
          <w:sz w:val="20"/>
          <w:szCs w:val="20"/>
          <w:lang w:val="en-US"/>
        </w:rPr>
      </w:pPr>
    </w:p>
    <w:p w14:paraId="2321DF32" w14:textId="6C9DDA99" w:rsidR="00C618AF" w:rsidRDefault="00C618AF" w:rsidP="008A720A">
      <w:pPr>
        <w:jc w:val="both"/>
        <w:rPr>
          <w:rFonts w:ascii="Times New Roman" w:hAnsi="Times New Roman" w:cs="Times New Roman"/>
          <w:b/>
          <w:sz w:val="28"/>
          <w:lang w:val="en-US"/>
        </w:rPr>
      </w:pPr>
    </w:p>
    <w:p w14:paraId="4AD06F85" w14:textId="19540B7C" w:rsidR="00784894" w:rsidRDefault="00784894" w:rsidP="008A720A">
      <w:pPr>
        <w:jc w:val="both"/>
        <w:rPr>
          <w:rFonts w:ascii="Times New Roman" w:hAnsi="Times New Roman" w:cs="Times New Roman"/>
          <w:b/>
          <w:sz w:val="28"/>
          <w:lang w:val="en-US"/>
        </w:rPr>
      </w:pPr>
    </w:p>
    <w:p w14:paraId="7ED80D0C" w14:textId="258A2661" w:rsidR="00705F71" w:rsidRDefault="00767FDF" w:rsidP="008A720A">
      <w:pPr>
        <w:spacing w:after="120" w:line="360" w:lineRule="auto"/>
        <w:jc w:val="both"/>
        <w:rPr>
          <w:rFonts w:ascii="Times New Roman" w:hAnsi="Times New Roman" w:cs="Times New Roman"/>
          <w:lang w:val="en-US"/>
        </w:rPr>
      </w:pPr>
      <w:r>
        <w:rPr>
          <w:rFonts w:ascii="Times New Roman" w:hAnsi="Times New Roman" w:cs="Times New Roman"/>
          <w:noProof/>
          <w:lang w:val="en-US"/>
        </w:rPr>
        <w:drawing>
          <wp:inline distT="0" distB="0" distL="0" distR="0" wp14:anchorId="1A1B989D" wp14:editId="51C59FA4">
            <wp:extent cx="5943600" cy="4044950"/>
            <wp:effectExtent l="0" t="0" r="0" b="0"/>
            <wp:docPr id="8" name="Picture 8" descr="Macintosh HD:Users:manu:Dropbox:manu:referees:QJE:2017-AutenSplinter:fi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anu:Dropbox:manu:referees:QJE:2017-AutenSplinter:fig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044950"/>
                    </a:xfrm>
                    <a:prstGeom prst="rect">
                      <a:avLst/>
                    </a:prstGeom>
                    <a:noFill/>
                    <a:ln>
                      <a:noFill/>
                    </a:ln>
                  </pic:spPr>
                </pic:pic>
              </a:graphicData>
            </a:graphic>
          </wp:inline>
        </w:drawing>
      </w:r>
    </w:p>
    <w:p w14:paraId="08A82D1C" w14:textId="48DE693D" w:rsidR="007379E5" w:rsidRPr="00595561" w:rsidRDefault="007379E5" w:rsidP="008A720A">
      <w:pPr>
        <w:spacing w:after="120" w:line="360" w:lineRule="auto"/>
        <w:jc w:val="both"/>
        <w:rPr>
          <w:rFonts w:ascii="Times New Roman" w:hAnsi="Times New Roman" w:cs="Times New Roman"/>
          <w:szCs w:val="24"/>
          <w:lang w:val="en-US"/>
        </w:rPr>
      </w:pPr>
    </w:p>
    <w:p w14:paraId="30A416CE" w14:textId="729B5632" w:rsidR="003F6B35" w:rsidRPr="004D5857" w:rsidRDefault="003F6B35" w:rsidP="009E2E85">
      <w:pPr>
        <w:spacing w:after="120" w:line="360" w:lineRule="auto"/>
        <w:jc w:val="both"/>
        <w:outlineLvl w:val="0"/>
        <w:rPr>
          <w:rFonts w:ascii="Times New Roman" w:hAnsi="Times New Roman" w:cs="Times New Roman"/>
          <w:b/>
          <w:szCs w:val="24"/>
          <w:lang w:val="en-US"/>
        </w:rPr>
      </w:pPr>
      <w:r w:rsidRPr="004D5857">
        <w:rPr>
          <w:rFonts w:ascii="Times New Roman" w:hAnsi="Times New Roman" w:cs="Times New Roman"/>
          <w:b/>
          <w:szCs w:val="24"/>
          <w:lang w:val="en-US"/>
        </w:rPr>
        <w:t>Figure 3. Top 1</w:t>
      </w:r>
      <w:r w:rsidR="009E2E85">
        <w:rPr>
          <w:rFonts w:ascii="Times New Roman" w:hAnsi="Times New Roman" w:cs="Times New Roman"/>
          <w:b/>
          <w:szCs w:val="24"/>
          <w:lang w:val="en-US"/>
        </w:rPr>
        <w:t xml:space="preserve"> percent</w:t>
      </w:r>
      <w:r w:rsidRPr="004D5857">
        <w:rPr>
          <w:rFonts w:ascii="Times New Roman" w:hAnsi="Times New Roman" w:cs="Times New Roman"/>
          <w:b/>
          <w:szCs w:val="24"/>
          <w:lang w:val="en-US"/>
        </w:rPr>
        <w:t xml:space="preserve"> </w:t>
      </w:r>
      <w:r w:rsidR="008642B0">
        <w:rPr>
          <w:rFonts w:ascii="Times New Roman" w:hAnsi="Times New Roman" w:cs="Times New Roman"/>
          <w:b/>
          <w:szCs w:val="24"/>
          <w:lang w:val="en-US"/>
        </w:rPr>
        <w:t>pre-tax national income share: PSZ vs. simplified computation</w:t>
      </w:r>
      <w:r w:rsidR="00A44AB5">
        <w:rPr>
          <w:rFonts w:ascii="Times New Roman" w:hAnsi="Times New Roman" w:cs="Times New Roman"/>
          <w:b/>
          <w:szCs w:val="24"/>
          <w:lang w:val="en-US"/>
        </w:rPr>
        <w:t>s</w:t>
      </w:r>
    </w:p>
    <w:p w14:paraId="6D45F783" w14:textId="4E1D31B2" w:rsidR="00834624" w:rsidRDefault="00DE4FB9" w:rsidP="00E95FDC">
      <w:pPr>
        <w:spacing w:after="120" w:line="360" w:lineRule="auto"/>
        <w:jc w:val="both"/>
        <w:rPr>
          <w:rFonts w:ascii="Times New Roman" w:hAnsi="Times New Roman" w:cs="Times New Roman"/>
          <w:sz w:val="20"/>
          <w:szCs w:val="20"/>
          <w:lang w:val="en-US"/>
        </w:rPr>
      </w:pPr>
      <w:r w:rsidRPr="009C3D37">
        <w:rPr>
          <w:rFonts w:ascii="Times New Roman" w:hAnsi="Times New Roman" w:cs="Times New Roman"/>
          <w:i/>
          <w:sz w:val="20"/>
          <w:szCs w:val="20"/>
          <w:lang w:val="en-US"/>
        </w:rPr>
        <w:t>Notes:</w:t>
      </w:r>
      <w:r w:rsidR="00716DB7">
        <w:rPr>
          <w:rFonts w:ascii="Times New Roman" w:hAnsi="Times New Roman" w:cs="Times New Roman"/>
          <w:sz w:val="20"/>
          <w:szCs w:val="20"/>
          <w:lang w:val="en-US"/>
        </w:rPr>
        <w:t xml:space="preserve"> </w:t>
      </w:r>
      <w:r w:rsidR="00CD56C1">
        <w:rPr>
          <w:rFonts w:ascii="Times New Roman" w:hAnsi="Times New Roman" w:cs="Times New Roman"/>
          <w:sz w:val="20"/>
          <w:szCs w:val="20"/>
          <w:lang w:val="en-US"/>
        </w:rPr>
        <w:t>This figure displays the top 1</w:t>
      </w:r>
      <w:r w:rsidR="009E2E85">
        <w:rPr>
          <w:rFonts w:ascii="Times New Roman" w:hAnsi="Times New Roman" w:cs="Times New Roman"/>
          <w:sz w:val="20"/>
          <w:szCs w:val="20"/>
          <w:lang w:val="en-US"/>
        </w:rPr>
        <w:t xml:space="preserve"> percent</w:t>
      </w:r>
      <w:r w:rsidR="00CD56C1">
        <w:rPr>
          <w:rFonts w:ascii="Times New Roman" w:hAnsi="Times New Roman" w:cs="Times New Roman"/>
          <w:sz w:val="20"/>
          <w:szCs w:val="20"/>
          <w:lang w:val="en-US"/>
        </w:rPr>
        <w:t xml:space="preserve"> pre-tax national income share from </w:t>
      </w:r>
      <w:proofErr w:type="spellStart"/>
      <w:r w:rsidR="00CD56C1">
        <w:rPr>
          <w:rFonts w:ascii="Times New Roman" w:hAnsi="Times New Roman" w:cs="Times New Roman"/>
          <w:sz w:val="20"/>
          <w:szCs w:val="20"/>
          <w:lang w:val="en-US"/>
        </w:rPr>
        <w:t>Piketty</w:t>
      </w:r>
      <w:proofErr w:type="spellEnd"/>
      <w:r w:rsidR="00CD56C1">
        <w:rPr>
          <w:rFonts w:ascii="Times New Roman" w:hAnsi="Times New Roman" w:cs="Times New Roman"/>
          <w:sz w:val="20"/>
          <w:szCs w:val="20"/>
          <w:lang w:val="en-US"/>
        </w:rPr>
        <w:t xml:space="preserve">, Saez, and </w:t>
      </w:r>
      <w:proofErr w:type="spellStart"/>
      <w:r w:rsidR="00CD56C1">
        <w:rPr>
          <w:rFonts w:ascii="Times New Roman" w:hAnsi="Times New Roman" w:cs="Times New Roman"/>
          <w:sz w:val="20"/>
          <w:szCs w:val="20"/>
          <w:lang w:val="en-US"/>
        </w:rPr>
        <w:t>Zucman</w:t>
      </w:r>
      <w:proofErr w:type="spellEnd"/>
      <w:r w:rsidR="00CD56C1">
        <w:rPr>
          <w:rFonts w:ascii="Times New Roman" w:hAnsi="Times New Roman" w:cs="Times New Roman"/>
          <w:sz w:val="20"/>
          <w:szCs w:val="20"/>
          <w:lang w:val="en-US"/>
        </w:rPr>
        <w:t xml:space="preserve"> (2018) (PSZ) </w:t>
      </w:r>
      <w:r w:rsidR="0015698E">
        <w:rPr>
          <w:rFonts w:ascii="Times New Roman" w:hAnsi="Times New Roman" w:cs="Times New Roman"/>
          <w:sz w:val="20"/>
          <w:szCs w:val="20"/>
          <w:lang w:val="en-US"/>
        </w:rPr>
        <w:t xml:space="preserve">in solid line </w:t>
      </w:r>
      <w:r w:rsidR="00CD56C1">
        <w:rPr>
          <w:rFonts w:ascii="Times New Roman" w:hAnsi="Times New Roman" w:cs="Times New Roman"/>
          <w:sz w:val="20"/>
          <w:szCs w:val="20"/>
          <w:lang w:val="en-US"/>
        </w:rPr>
        <w:t>and using our proposed simplified computation</w:t>
      </w:r>
      <w:r w:rsidR="0015698E">
        <w:rPr>
          <w:rFonts w:ascii="Times New Roman" w:hAnsi="Times New Roman" w:cs="Times New Roman"/>
          <w:sz w:val="20"/>
          <w:szCs w:val="20"/>
          <w:lang w:val="en-US"/>
        </w:rPr>
        <w:t xml:space="preserve"> in dashed line</w:t>
      </w:r>
      <w:r w:rsidR="00CD56C1">
        <w:rPr>
          <w:rFonts w:ascii="Times New Roman" w:hAnsi="Times New Roman" w:cs="Times New Roman"/>
          <w:sz w:val="20"/>
          <w:szCs w:val="20"/>
          <w:lang w:val="en-US"/>
        </w:rPr>
        <w:t>.</w:t>
      </w:r>
      <w:r w:rsidR="00D507E4">
        <w:rPr>
          <w:rFonts w:ascii="Times New Roman" w:hAnsi="Times New Roman" w:cs="Times New Roman"/>
          <w:sz w:val="20"/>
          <w:szCs w:val="20"/>
          <w:lang w:val="en-US"/>
        </w:rPr>
        <w:t xml:space="preserve"> The simplified computation</w:t>
      </w:r>
      <w:r w:rsidR="001D7D72">
        <w:rPr>
          <w:rFonts w:ascii="Times New Roman" w:hAnsi="Times New Roman" w:cs="Times New Roman"/>
          <w:sz w:val="20"/>
          <w:szCs w:val="20"/>
          <w:lang w:val="en-US"/>
        </w:rPr>
        <w:t xml:space="preserve"> uses realistic assumptions and</w:t>
      </w:r>
      <w:r w:rsidR="00D507E4">
        <w:rPr>
          <w:rFonts w:ascii="Times New Roman" w:hAnsi="Times New Roman" w:cs="Times New Roman"/>
          <w:sz w:val="20"/>
          <w:szCs w:val="20"/>
          <w:lang w:val="en-US"/>
        </w:rPr>
        <w:t xml:space="preserve"> reproduces closely the PSZ series both in levels and trends.</w:t>
      </w:r>
      <w:r w:rsidR="00CD56C1">
        <w:rPr>
          <w:rFonts w:ascii="Times New Roman" w:hAnsi="Times New Roman" w:cs="Times New Roman"/>
          <w:sz w:val="20"/>
          <w:szCs w:val="20"/>
          <w:lang w:val="en-US"/>
        </w:rPr>
        <w:t xml:space="preserve"> </w:t>
      </w:r>
    </w:p>
    <w:p w14:paraId="7627CD58" w14:textId="30355826" w:rsidR="00E95FDC" w:rsidRPr="0082110D" w:rsidRDefault="00E95FDC" w:rsidP="00E95FDC">
      <w:pPr>
        <w:spacing w:after="120" w:line="360" w:lineRule="auto"/>
        <w:jc w:val="both"/>
        <w:rPr>
          <w:rFonts w:ascii="Times New Roman" w:hAnsi="Times New Roman" w:cs="Times New Roman"/>
          <w:b/>
          <w:lang w:val="en-US"/>
        </w:rPr>
      </w:pPr>
      <w:r w:rsidRPr="009C3D37">
        <w:rPr>
          <w:rFonts w:ascii="Times New Roman" w:hAnsi="Times New Roman" w:cs="Times New Roman"/>
          <w:i/>
          <w:sz w:val="20"/>
          <w:szCs w:val="20"/>
          <w:lang w:val="en-US"/>
        </w:rPr>
        <w:t>Source:</w:t>
      </w:r>
      <w:r w:rsidRPr="0082110D">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Piketty</w:t>
      </w:r>
      <w:proofErr w:type="spellEnd"/>
      <w:r>
        <w:rPr>
          <w:rFonts w:ascii="Times New Roman" w:hAnsi="Times New Roman" w:cs="Times New Roman"/>
          <w:sz w:val="20"/>
          <w:szCs w:val="20"/>
          <w:lang w:val="en-US"/>
        </w:rPr>
        <w:t xml:space="preserve">, Saez, and </w:t>
      </w:r>
      <w:proofErr w:type="spellStart"/>
      <w:r>
        <w:rPr>
          <w:rFonts w:ascii="Times New Roman" w:hAnsi="Times New Roman" w:cs="Times New Roman"/>
          <w:sz w:val="20"/>
          <w:szCs w:val="20"/>
          <w:lang w:val="en-US"/>
        </w:rPr>
        <w:t>Zucman</w:t>
      </w:r>
      <w:proofErr w:type="spellEnd"/>
      <w:r>
        <w:rPr>
          <w:rFonts w:ascii="Times New Roman" w:hAnsi="Times New Roman" w:cs="Times New Roman"/>
          <w:sz w:val="20"/>
          <w:szCs w:val="20"/>
          <w:lang w:val="en-US"/>
        </w:rPr>
        <w:t xml:space="preserve"> (2018) and authors’ computations.</w:t>
      </w:r>
    </w:p>
    <w:p w14:paraId="04CCFAD3" w14:textId="31EB7420" w:rsidR="005A40AA" w:rsidRPr="004D5857" w:rsidRDefault="005A40AA" w:rsidP="008A720A">
      <w:pPr>
        <w:spacing w:after="120" w:line="360" w:lineRule="auto"/>
        <w:jc w:val="both"/>
        <w:rPr>
          <w:rFonts w:ascii="Times New Roman" w:hAnsi="Times New Roman" w:cs="Times New Roman"/>
          <w:b/>
          <w:szCs w:val="24"/>
          <w:lang w:val="en-US"/>
        </w:rPr>
      </w:pPr>
    </w:p>
    <w:p w14:paraId="215149F7" w14:textId="444D87D5" w:rsidR="008C3079" w:rsidRDefault="008C3079" w:rsidP="008A720A">
      <w:pPr>
        <w:spacing w:after="120" w:line="360" w:lineRule="auto"/>
        <w:jc w:val="both"/>
        <w:rPr>
          <w:rFonts w:ascii="Times New Roman" w:hAnsi="Times New Roman" w:cs="Times New Roman"/>
          <w:b/>
          <w:szCs w:val="24"/>
          <w:lang w:val="en-US"/>
        </w:rPr>
      </w:pPr>
    </w:p>
    <w:p w14:paraId="48A7FB74" w14:textId="77777777" w:rsidR="005F6A8B" w:rsidRDefault="005F6A8B" w:rsidP="008A720A">
      <w:pPr>
        <w:jc w:val="both"/>
        <w:rPr>
          <w:rFonts w:ascii="Times New Roman" w:hAnsi="Times New Roman" w:cs="Times New Roman"/>
          <w:lang w:val="en-US"/>
        </w:rPr>
      </w:pPr>
    </w:p>
    <w:p w14:paraId="03D191AF" w14:textId="77777777" w:rsidR="00F139A4" w:rsidRDefault="00F139A4" w:rsidP="008A720A">
      <w:pPr>
        <w:jc w:val="both"/>
        <w:rPr>
          <w:rFonts w:ascii="Times New Roman" w:hAnsi="Times New Roman" w:cs="Times New Roman"/>
          <w:lang w:val="en-US"/>
        </w:rPr>
      </w:pPr>
    </w:p>
    <w:p w14:paraId="19CE9256" w14:textId="77777777" w:rsidR="00F139A4" w:rsidRDefault="00F139A4" w:rsidP="008A720A">
      <w:pPr>
        <w:jc w:val="both"/>
        <w:rPr>
          <w:rFonts w:ascii="Times New Roman" w:hAnsi="Times New Roman" w:cs="Times New Roman"/>
          <w:lang w:val="en-US"/>
        </w:rPr>
      </w:pPr>
    </w:p>
    <w:p w14:paraId="24D0A3B8" w14:textId="77777777" w:rsidR="00F139A4" w:rsidRDefault="00F139A4" w:rsidP="008A720A">
      <w:pPr>
        <w:jc w:val="both"/>
        <w:rPr>
          <w:rFonts w:ascii="Times New Roman" w:hAnsi="Times New Roman" w:cs="Times New Roman"/>
          <w:lang w:val="en-US"/>
        </w:rPr>
      </w:pPr>
    </w:p>
    <w:p w14:paraId="73257F57" w14:textId="77777777" w:rsidR="00F139A4" w:rsidRDefault="00F139A4" w:rsidP="008A720A">
      <w:pPr>
        <w:jc w:val="both"/>
        <w:rPr>
          <w:rFonts w:ascii="Times New Roman" w:hAnsi="Times New Roman" w:cs="Times New Roman"/>
          <w:lang w:val="en-US"/>
        </w:rPr>
      </w:pPr>
    </w:p>
    <w:p w14:paraId="009320F9" w14:textId="77777777" w:rsidR="00F139A4" w:rsidRDefault="00F139A4" w:rsidP="008A720A">
      <w:pPr>
        <w:jc w:val="both"/>
        <w:rPr>
          <w:rFonts w:ascii="Times New Roman" w:hAnsi="Times New Roman" w:cs="Times New Roman"/>
          <w:lang w:val="en-US"/>
        </w:rPr>
      </w:pPr>
    </w:p>
    <w:p w14:paraId="2764A762" w14:textId="77777777" w:rsidR="00F139A4" w:rsidRDefault="00F139A4" w:rsidP="008A720A">
      <w:pPr>
        <w:jc w:val="both"/>
        <w:rPr>
          <w:rFonts w:ascii="Times New Roman" w:hAnsi="Times New Roman" w:cs="Times New Roman"/>
          <w:lang w:val="en-US"/>
        </w:rPr>
      </w:pPr>
    </w:p>
    <w:p w14:paraId="11134379" w14:textId="25EE20E7" w:rsidR="006230C4" w:rsidRDefault="00767FDF" w:rsidP="00F139A4">
      <w:pPr>
        <w:spacing w:after="120" w:line="360" w:lineRule="auto"/>
        <w:jc w:val="both"/>
        <w:rPr>
          <w:rFonts w:ascii="Times New Roman" w:hAnsi="Times New Roman" w:cs="Times New Roman"/>
          <w:b/>
          <w:szCs w:val="24"/>
          <w:lang w:val="en-US"/>
        </w:rPr>
      </w:pPr>
      <w:r>
        <w:rPr>
          <w:rFonts w:ascii="Times New Roman" w:hAnsi="Times New Roman" w:cs="Times New Roman"/>
          <w:b/>
          <w:noProof/>
          <w:szCs w:val="24"/>
          <w:lang w:val="en-US"/>
        </w:rPr>
        <w:lastRenderedPageBreak/>
        <w:drawing>
          <wp:inline distT="0" distB="0" distL="0" distR="0" wp14:anchorId="39F2CA85" wp14:editId="02237939">
            <wp:extent cx="5943600" cy="4044950"/>
            <wp:effectExtent l="0" t="0" r="0" b="0"/>
            <wp:docPr id="9" name="Picture 9" descr="Macintosh HD:Users:manu:Dropbox:manu:referees:QJE:2017-AutenSplinter:f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anu:Dropbox:manu:referees:QJE:2017-AutenSplinter:fig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044950"/>
                    </a:xfrm>
                    <a:prstGeom prst="rect">
                      <a:avLst/>
                    </a:prstGeom>
                    <a:noFill/>
                    <a:ln>
                      <a:noFill/>
                    </a:ln>
                  </pic:spPr>
                </pic:pic>
              </a:graphicData>
            </a:graphic>
          </wp:inline>
        </w:drawing>
      </w:r>
    </w:p>
    <w:p w14:paraId="2B103773" w14:textId="77777777" w:rsidR="006230C4" w:rsidRDefault="006230C4" w:rsidP="00F139A4">
      <w:pPr>
        <w:spacing w:after="120" w:line="360" w:lineRule="auto"/>
        <w:jc w:val="both"/>
        <w:rPr>
          <w:rFonts w:ascii="Times New Roman" w:hAnsi="Times New Roman" w:cs="Times New Roman"/>
          <w:b/>
          <w:szCs w:val="24"/>
          <w:lang w:val="en-US"/>
        </w:rPr>
      </w:pPr>
    </w:p>
    <w:p w14:paraId="5BD8C8FF" w14:textId="4655FA99" w:rsidR="00F139A4" w:rsidRPr="004D5857" w:rsidRDefault="00F139A4" w:rsidP="00F139A4">
      <w:pPr>
        <w:spacing w:after="120" w:line="360" w:lineRule="auto"/>
        <w:jc w:val="both"/>
        <w:rPr>
          <w:rFonts w:ascii="Times New Roman" w:hAnsi="Times New Roman" w:cs="Times New Roman"/>
          <w:b/>
          <w:szCs w:val="24"/>
          <w:lang w:val="en-US"/>
        </w:rPr>
      </w:pPr>
      <w:r>
        <w:rPr>
          <w:rFonts w:ascii="Times New Roman" w:hAnsi="Times New Roman" w:cs="Times New Roman"/>
          <w:b/>
          <w:szCs w:val="24"/>
          <w:lang w:val="en-US"/>
        </w:rPr>
        <w:t>Figure 4</w:t>
      </w:r>
      <w:r w:rsidRPr="004D5857">
        <w:rPr>
          <w:rFonts w:ascii="Times New Roman" w:hAnsi="Times New Roman" w:cs="Times New Roman"/>
          <w:b/>
          <w:szCs w:val="24"/>
          <w:lang w:val="en-US"/>
        </w:rPr>
        <w:t xml:space="preserve">. </w:t>
      </w:r>
      <w:r w:rsidR="0093520B">
        <w:rPr>
          <w:rFonts w:ascii="Times New Roman" w:hAnsi="Times New Roman" w:cs="Times New Roman"/>
          <w:b/>
          <w:szCs w:val="24"/>
          <w:lang w:val="en-US"/>
        </w:rPr>
        <w:t>How to recover</w:t>
      </w:r>
      <w:r>
        <w:rPr>
          <w:rFonts w:ascii="Times New Roman" w:hAnsi="Times New Roman" w:cs="Times New Roman"/>
          <w:b/>
          <w:szCs w:val="24"/>
          <w:lang w:val="en-US"/>
        </w:rPr>
        <w:t xml:space="preserve"> </w:t>
      </w:r>
      <w:proofErr w:type="spellStart"/>
      <w:r>
        <w:rPr>
          <w:rFonts w:ascii="Times New Roman" w:hAnsi="Times New Roman" w:cs="Times New Roman"/>
          <w:b/>
          <w:szCs w:val="24"/>
          <w:lang w:val="en-US"/>
        </w:rPr>
        <w:t>Auten</w:t>
      </w:r>
      <w:proofErr w:type="spellEnd"/>
      <w:r>
        <w:rPr>
          <w:rFonts w:ascii="Times New Roman" w:hAnsi="Times New Roman" w:cs="Times New Roman"/>
          <w:b/>
          <w:szCs w:val="24"/>
          <w:lang w:val="en-US"/>
        </w:rPr>
        <w:t xml:space="preserve"> and Splinter</w:t>
      </w:r>
      <w:r w:rsidR="0093520B">
        <w:rPr>
          <w:rFonts w:ascii="Times New Roman" w:hAnsi="Times New Roman" w:cs="Times New Roman"/>
          <w:b/>
          <w:szCs w:val="24"/>
          <w:lang w:val="en-US"/>
        </w:rPr>
        <w:t xml:space="preserve"> top 1</w:t>
      </w:r>
      <w:r w:rsidR="009E2E85">
        <w:rPr>
          <w:rFonts w:ascii="Times New Roman" w:hAnsi="Times New Roman" w:cs="Times New Roman"/>
          <w:b/>
          <w:szCs w:val="24"/>
          <w:lang w:val="en-US"/>
        </w:rPr>
        <w:t xml:space="preserve"> percent</w:t>
      </w:r>
      <w:r w:rsidR="0093520B">
        <w:rPr>
          <w:rFonts w:ascii="Times New Roman" w:hAnsi="Times New Roman" w:cs="Times New Roman"/>
          <w:b/>
          <w:szCs w:val="24"/>
          <w:lang w:val="en-US"/>
        </w:rPr>
        <w:t xml:space="preserve"> income share</w:t>
      </w:r>
      <w:r w:rsidR="00FF01AB">
        <w:rPr>
          <w:rFonts w:ascii="Times New Roman" w:hAnsi="Times New Roman" w:cs="Times New Roman"/>
          <w:b/>
          <w:szCs w:val="24"/>
          <w:lang w:val="en-US"/>
        </w:rPr>
        <w:t xml:space="preserve"> series</w:t>
      </w:r>
      <w:r>
        <w:rPr>
          <w:rFonts w:ascii="Times New Roman" w:hAnsi="Times New Roman" w:cs="Times New Roman"/>
          <w:b/>
          <w:szCs w:val="24"/>
          <w:lang w:val="en-US"/>
        </w:rPr>
        <w:t xml:space="preserve"> </w:t>
      </w:r>
      <w:r w:rsidR="009A56A6">
        <w:rPr>
          <w:rFonts w:ascii="Times New Roman" w:hAnsi="Times New Roman" w:cs="Times New Roman"/>
          <w:b/>
          <w:szCs w:val="24"/>
          <w:lang w:val="en-US"/>
        </w:rPr>
        <w:t xml:space="preserve">using </w:t>
      </w:r>
      <w:r>
        <w:rPr>
          <w:rFonts w:ascii="Times New Roman" w:hAnsi="Times New Roman" w:cs="Times New Roman"/>
          <w:b/>
          <w:szCs w:val="24"/>
          <w:lang w:val="en-US"/>
        </w:rPr>
        <w:t>simplified computation</w:t>
      </w:r>
      <w:r w:rsidR="00D60976">
        <w:rPr>
          <w:rFonts w:ascii="Times New Roman" w:hAnsi="Times New Roman" w:cs="Times New Roman"/>
          <w:b/>
          <w:szCs w:val="24"/>
          <w:lang w:val="en-US"/>
        </w:rPr>
        <w:t>s</w:t>
      </w:r>
    </w:p>
    <w:p w14:paraId="15EED30E" w14:textId="7ECB00A3" w:rsidR="00F42A65" w:rsidRDefault="00F139A4" w:rsidP="00F139A4">
      <w:pPr>
        <w:spacing w:after="120" w:line="360" w:lineRule="auto"/>
        <w:jc w:val="both"/>
        <w:rPr>
          <w:rFonts w:ascii="Times New Roman" w:hAnsi="Times New Roman" w:cs="Times New Roman"/>
          <w:sz w:val="20"/>
          <w:szCs w:val="20"/>
          <w:lang w:val="en-US"/>
        </w:rPr>
      </w:pPr>
      <w:r w:rsidRPr="00ED6B15">
        <w:rPr>
          <w:rFonts w:ascii="Times New Roman" w:hAnsi="Times New Roman" w:cs="Times New Roman"/>
          <w:i/>
          <w:sz w:val="20"/>
          <w:szCs w:val="20"/>
          <w:lang w:val="en-US"/>
        </w:rPr>
        <w:t>Notes:</w:t>
      </w:r>
      <w:r>
        <w:rPr>
          <w:rFonts w:ascii="Times New Roman" w:hAnsi="Times New Roman" w:cs="Times New Roman"/>
          <w:sz w:val="20"/>
          <w:szCs w:val="20"/>
          <w:lang w:val="en-US"/>
        </w:rPr>
        <w:t xml:space="preserve"> This figure displays the top 1</w:t>
      </w:r>
      <w:r w:rsidR="009E2E85">
        <w:rPr>
          <w:rFonts w:ascii="Times New Roman" w:hAnsi="Times New Roman" w:cs="Times New Roman"/>
          <w:sz w:val="20"/>
          <w:szCs w:val="20"/>
          <w:lang w:val="en-US"/>
        </w:rPr>
        <w:t xml:space="preserve"> percent</w:t>
      </w:r>
      <w:r>
        <w:rPr>
          <w:rFonts w:ascii="Times New Roman" w:hAnsi="Times New Roman" w:cs="Times New Roman"/>
          <w:sz w:val="20"/>
          <w:szCs w:val="20"/>
          <w:lang w:val="en-US"/>
        </w:rPr>
        <w:t xml:space="preserve"> pre-tax national income share from </w:t>
      </w:r>
      <w:proofErr w:type="spellStart"/>
      <w:r w:rsidR="00DD7972">
        <w:rPr>
          <w:rFonts w:ascii="Times New Roman" w:hAnsi="Times New Roman" w:cs="Times New Roman"/>
          <w:sz w:val="20"/>
          <w:szCs w:val="20"/>
          <w:lang w:val="en-US"/>
        </w:rPr>
        <w:t>Auten</w:t>
      </w:r>
      <w:proofErr w:type="spellEnd"/>
      <w:r w:rsidR="00DD7972">
        <w:rPr>
          <w:rFonts w:ascii="Times New Roman" w:hAnsi="Times New Roman" w:cs="Times New Roman"/>
          <w:sz w:val="20"/>
          <w:szCs w:val="20"/>
          <w:lang w:val="en-US"/>
        </w:rPr>
        <w:t xml:space="preserve"> and Splinter (2018)</w:t>
      </w:r>
      <w:r>
        <w:rPr>
          <w:rFonts w:ascii="Times New Roman" w:hAnsi="Times New Roman" w:cs="Times New Roman"/>
          <w:sz w:val="20"/>
          <w:szCs w:val="20"/>
          <w:lang w:val="en-US"/>
        </w:rPr>
        <w:t xml:space="preserve"> in solid line and using </w:t>
      </w:r>
      <w:r w:rsidR="00A755A9">
        <w:rPr>
          <w:rFonts w:ascii="Times New Roman" w:hAnsi="Times New Roman" w:cs="Times New Roman"/>
          <w:sz w:val="20"/>
          <w:szCs w:val="20"/>
          <w:lang w:val="en-US"/>
        </w:rPr>
        <w:t>a</w:t>
      </w:r>
      <w:r>
        <w:rPr>
          <w:rFonts w:ascii="Times New Roman" w:hAnsi="Times New Roman" w:cs="Times New Roman"/>
          <w:sz w:val="20"/>
          <w:szCs w:val="20"/>
          <w:lang w:val="en-US"/>
        </w:rPr>
        <w:t xml:space="preserve"> simplified computation in dashed line. The simplified computation </w:t>
      </w:r>
      <w:r w:rsidR="00EC67D3">
        <w:rPr>
          <w:rFonts w:ascii="Times New Roman" w:hAnsi="Times New Roman" w:cs="Times New Roman"/>
          <w:sz w:val="20"/>
          <w:szCs w:val="20"/>
          <w:lang w:val="en-US"/>
        </w:rPr>
        <w:t>needs to use</w:t>
      </w:r>
      <w:r>
        <w:rPr>
          <w:rFonts w:ascii="Times New Roman" w:hAnsi="Times New Roman" w:cs="Times New Roman"/>
          <w:sz w:val="20"/>
          <w:szCs w:val="20"/>
          <w:lang w:val="en-US"/>
        </w:rPr>
        <w:t xml:space="preserve"> </w:t>
      </w:r>
      <w:r w:rsidR="00EC67D3">
        <w:rPr>
          <w:rFonts w:ascii="Times New Roman" w:hAnsi="Times New Roman" w:cs="Times New Roman"/>
          <w:sz w:val="20"/>
          <w:szCs w:val="20"/>
          <w:lang w:val="en-US"/>
        </w:rPr>
        <w:t>un</w:t>
      </w:r>
      <w:r w:rsidR="00CB0BBF">
        <w:rPr>
          <w:rFonts w:ascii="Times New Roman" w:hAnsi="Times New Roman" w:cs="Times New Roman"/>
          <w:sz w:val="20"/>
          <w:szCs w:val="20"/>
          <w:lang w:val="en-US"/>
        </w:rPr>
        <w:t>realistic assumptions to reproduce</w:t>
      </w:r>
      <w:r>
        <w:rPr>
          <w:rFonts w:ascii="Times New Roman" w:hAnsi="Times New Roman" w:cs="Times New Roman"/>
          <w:sz w:val="20"/>
          <w:szCs w:val="20"/>
          <w:lang w:val="en-US"/>
        </w:rPr>
        <w:t xml:space="preserve"> closely the </w:t>
      </w:r>
      <w:proofErr w:type="spellStart"/>
      <w:r w:rsidR="0094554A">
        <w:rPr>
          <w:rFonts w:ascii="Times New Roman" w:hAnsi="Times New Roman" w:cs="Times New Roman"/>
          <w:sz w:val="20"/>
          <w:szCs w:val="20"/>
          <w:lang w:val="en-US"/>
        </w:rPr>
        <w:t>Auten</w:t>
      </w:r>
      <w:proofErr w:type="spellEnd"/>
      <w:r w:rsidR="0094554A">
        <w:rPr>
          <w:rFonts w:ascii="Times New Roman" w:hAnsi="Times New Roman" w:cs="Times New Roman"/>
          <w:sz w:val="20"/>
          <w:szCs w:val="20"/>
          <w:lang w:val="en-US"/>
        </w:rPr>
        <w:t xml:space="preserve"> and Splinter</w:t>
      </w:r>
      <w:r>
        <w:rPr>
          <w:rFonts w:ascii="Times New Roman" w:hAnsi="Times New Roman" w:cs="Times New Roman"/>
          <w:sz w:val="20"/>
          <w:szCs w:val="20"/>
          <w:lang w:val="en-US"/>
        </w:rPr>
        <w:t xml:space="preserve"> series both in levels and trends. </w:t>
      </w:r>
      <w:r w:rsidR="00334104">
        <w:rPr>
          <w:rFonts w:ascii="Times New Roman" w:hAnsi="Times New Roman" w:cs="Times New Roman"/>
          <w:sz w:val="20"/>
          <w:szCs w:val="20"/>
          <w:lang w:val="en-US"/>
        </w:rPr>
        <w:t>W</w:t>
      </w:r>
      <w:r w:rsidR="00F42A65">
        <w:rPr>
          <w:rFonts w:ascii="Times New Roman" w:hAnsi="Times New Roman" w:cs="Times New Roman"/>
          <w:sz w:val="20"/>
          <w:szCs w:val="20"/>
          <w:lang w:val="en-US"/>
        </w:rPr>
        <w:t xml:space="preserve">e need to assume that the concentration of non-taxable labor income and capital income on pension funds is stable and low even though the concentration of taxable labor income increases sharply. We also need to assume </w:t>
      </w:r>
      <w:r w:rsidR="00334104">
        <w:rPr>
          <w:rFonts w:ascii="Times New Roman" w:hAnsi="Times New Roman" w:cs="Times New Roman"/>
          <w:sz w:val="20"/>
          <w:szCs w:val="20"/>
          <w:lang w:val="en-US"/>
        </w:rPr>
        <w:t>that the concentration of other non-taxable capital income declined sharply from 1960 to 2016 to unrealistically low levels by 2016.</w:t>
      </w:r>
    </w:p>
    <w:p w14:paraId="26A3CCC8" w14:textId="02812929" w:rsidR="00F139A4" w:rsidRPr="0082110D" w:rsidRDefault="00F139A4" w:rsidP="00F139A4">
      <w:pPr>
        <w:spacing w:after="120" w:line="360" w:lineRule="auto"/>
        <w:jc w:val="both"/>
        <w:rPr>
          <w:rFonts w:ascii="Times New Roman" w:hAnsi="Times New Roman" w:cs="Times New Roman"/>
          <w:b/>
          <w:lang w:val="en-US"/>
        </w:rPr>
      </w:pPr>
      <w:r w:rsidRPr="00ED6B15">
        <w:rPr>
          <w:rFonts w:ascii="Times New Roman" w:hAnsi="Times New Roman" w:cs="Times New Roman"/>
          <w:i/>
          <w:sz w:val="20"/>
          <w:szCs w:val="20"/>
          <w:lang w:val="en-US"/>
        </w:rPr>
        <w:t>Source:</w:t>
      </w:r>
      <w:r w:rsidRPr="0082110D">
        <w:rPr>
          <w:rFonts w:ascii="Times New Roman" w:hAnsi="Times New Roman" w:cs="Times New Roman"/>
          <w:sz w:val="20"/>
          <w:szCs w:val="20"/>
          <w:lang w:val="en-US"/>
        </w:rPr>
        <w:t xml:space="preserve"> </w:t>
      </w:r>
      <w:proofErr w:type="spellStart"/>
      <w:r w:rsidR="00F42A65">
        <w:rPr>
          <w:rFonts w:ascii="Times New Roman" w:hAnsi="Times New Roman" w:cs="Times New Roman"/>
          <w:sz w:val="20"/>
          <w:szCs w:val="20"/>
          <w:lang w:val="en-US"/>
        </w:rPr>
        <w:t>Aute</w:t>
      </w:r>
      <w:r>
        <w:rPr>
          <w:rFonts w:ascii="Times New Roman" w:hAnsi="Times New Roman" w:cs="Times New Roman"/>
          <w:sz w:val="20"/>
          <w:szCs w:val="20"/>
          <w:lang w:val="en-US"/>
        </w:rPr>
        <w:t>n</w:t>
      </w:r>
      <w:proofErr w:type="spellEnd"/>
      <w:r w:rsidR="00F42A65">
        <w:rPr>
          <w:rFonts w:ascii="Times New Roman" w:hAnsi="Times New Roman" w:cs="Times New Roman"/>
          <w:sz w:val="20"/>
          <w:szCs w:val="20"/>
          <w:lang w:val="en-US"/>
        </w:rPr>
        <w:t xml:space="preserve"> and Splinter</w:t>
      </w:r>
      <w:r>
        <w:rPr>
          <w:rFonts w:ascii="Times New Roman" w:hAnsi="Times New Roman" w:cs="Times New Roman"/>
          <w:sz w:val="20"/>
          <w:szCs w:val="20"/>
          <w:lang w:val="en-US"/>
        </w:rPr>
        <w:t xml:space="preserve"> (2018) and authors’ computations.</w:t>
      </w:r>
    </w:p>
    <w:p w14:paraId="5B76138C" w14:textId="5F5B42FC" w:rsidR="00573C52" w:rsidRDefault="00573C52">
      <w:pPr>
        <w:rPr>
          <w:rFonts w:ascii="Times New Roman" w:hAnsi="Times New Roman" w:cs="Times New Roman"/>
          <w:lang w:val="en-US"/>
        </w:rPr>
      </w:pPr>
      <w:r>
        <w:rPr>
          <w:rFonts w:ascii="Times New Roman" w:hAnsi="Times New Roman" w:cs="Times New Roman"/>
          <w:lang w:val="en-US"/>
        </w:rPr>
        <w:br w:type="page"/>
      </w:r>
    </w:p>
    <w:p w14:paraId="3B71034E" w14:textId="20C5A79D" w:rsidR="00767FDF" w:rsidRDefault="00767FDF" w:rsidP="00E014A4">
      <w:pPr>
        <w:spacing w:after="120" w:line="360" w:lineRule="auto"/>
        <w:jc w:val="both"/>
        <w:rPr>
          <w:rFonts w:ascii="Times New Roman" w:hAnsi="Times New Roman" w:cs="Times New Roman"/>
          <w:b/>
          <w:szCs w:val="24"/>
          <w:lang w:val="en-US"/>
        </w:rPr>
      </w:pPr>
      <w:r>
        <w:rPr>
          <w:rFonts w:ascii="Times New Roman" w:hAnsi="Times New Roman" w:cs="Times New Roman"/>
          <w:b/>
          <w:noProof/>
          <w:szCs w:val="24"/>
          <w:lang w:val="en-US"/>
        </w:rPr>
        <w:lastRenderedPageBreak/>
        <w:drawing>
          <wp:inline distT="0" distB="0" distL="0" distR="0" wp14:anchorId="6E43FA56" wp14:editId="546AD04B">
            <wp:extent cx="5943600" cy="4044950"/>
            <wp:effectExtent l="0" t="0" r="0" b="0"/>
            <wp:docPr id="10" name="Picture 10" descr="Macintosh HD:Users:manu:Dropbox:manu:referees:QJE:2017-AutenSplinter:fi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manu:Dropbox:manu:referees:QJE:2017-AutenSplinter:fig5.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044950"/>
                    </a:xfrm>
                    <a:prstGeom prst="rect">
                      <a:avLst/>
                    </a:prstGeom>
                    <a:noFill/>
                    <a:ln>
                      <a:noFill/>
                    </a:ln>
                  </pic:spPr>
                </pic:pic>
              </a:graphicData>
            </a:graphic>
          </wp:inline>
        </w:drawing>
      </w:r>
    </w:p>
    <w:p w14:paraId="237923E3" w14:textId="71BC79D3" w:rsidR="00E014A4" w:rsidRPr="00E014A4" w:rsidRDefault="00573C52" w:rsidP="009E2E85">
      <w:pPr>
        <w:spacing w:after="120" w:line="360" w:lineRule="auto"/>
        <w:jc w:val="both"/>
        <w:outlineLvl w:val="0"/>
        <w:rPr>
          <w:rFonts w:ascii="Times New Roman" w:hAnsi="Times New Roman" w:cs="Times New Roman"/>
          <w:b/>
          <w:szCs w:val="24"/>
          <w:lang w:val="en-US"/>
        </w:rPr>
      </w:pPr>
      <w:r>
        <w:rPr>
          <w:rFonts w:ascii="Times New Roman" w:hAnsi="Times New Roman" w:cs="Times New Roman"/>
          <w:b/>
          <w:szCs w:val="24"/>
          <w:lang w:val="en-US"/>
        </w:rPr>
        <w:t>Figure 5</w:t>
      </w:r>
      <w:r w:rsidRPr="004D5857">
        <w:rPr>
          <w:rFonts w:ascii="Times New Roman" w:hAnsi="Times New Roman" w:cs="Times New Roman"/>
          <w:b/>
          <w:szCs w:val="24"/>
          <w:lang w:val="en-US"/>
        </w:rPr>
        <w:t xml:space="preserve">. </w:t>
      </w:r>
      <w:r w:rsidR="00E014A4">
        <w:rPr>
          <w:rFonts w:ascii="Times New Roman" w:hAnsi="Times New Roman" w:cs="Times New Roman"/>
          <w:b/>
          <w:szCs w:val="24"/>
          <w:lang w:val="en-US"/>
        </w:rPr>
        <w:t>Top 1</w:t>
      </w:r>
      <w:r w:rsidR="009E2E85">
        <w:rPr>
          <w:rFonts w:ascii="Times New Roman" w:hAnsi="Times New Roman" w:cs="Times New Roman"/>
          <w:b/>
          <w:szCs w:val="24"/>
          <w:lang w:val="en-US"/>
        </w:rPr>
        <w:t xml:space="preserve"> percent</w:t>
      </w:r>
      <w:r w:rsidR="00E014A4">
        <w:rPr>
          <w:rFonts w:ascii="Times New Roman" w:hAnsi="Times New Roman" w:cs="Times New Roman"/>
          <w:b/>
          <w:szCs w:val="24"/>
          <w:lang w:val="en-US"/>
        </w:rPr>
        <w:t xml:space="preserve"> Wealth S</w:t>
      </w:r>
      <w:r w:rsidR="00E014A4" w:rsidRPr="00E014A4">
        <w:rPr>
          <w:rFonts w:ascii="Times New Roman" w:hAnsi="Times New Roman" w:cs="Times New Roman"/>
          <w:b/>
          <w:szCs w:val="24"/>
          <w:lang w:val="en-US"/>
        </w:rPr>
        <w:t>hare in the United States</w:t>
      </w:r>
      <w:r w:rsidR="00E014A4">
        <w:rPr>
          <w:rFonts w:ascii="Times New Roman" w:hAnsi="Times New Roman" w:cs="Times New Roman"/>
          <w:b/>
          <w:szCs w:val="24"/>
          <w:lang w:val="en-US"/>
        </w:rPr>
        <w:t>: Capitalized incomes and SCF</w:t>
      </w:r>
    </w:p>
    <w:p w14:paraId="58DE59D4" w14:textId="26EAF4B5" w:rsidR="004B282C" w:rsidRDefault="00573C52" w:rsidP="006B7DFA">
      <w:pPr>
        <w:spacing w:after="120" w:line="360" w:lineRule="auto"/>
        <w:jc w:val="both"/>
        <w:rPr>
          <w:rFonts w:ascii="Times New Roman" w:hAnsi="Times New Roman" w:cs="Times New Roman"/>
          <w:sz w:val="20"/>
          <w:szCs w:val="20"/>
          <w:lang w:val="en-US"/>
        </w:rPr>
      </w:pPr>
      <w:r w:rsidRPr="001804F8">
        <w:rPr>
          <w:rFonts w:ascii="Times New Roman" w:hAnsi="Times New Roman" w:cs="Times New Roman"/>
          <w:i/>
          <w:sz w:val="20"/>
          <w:szCs w:val="20"/>
          <w:lang w:val="en-US"/>
        </w:rPr>
        <w:t>Notes:</w:t>
      </w:r>
      <w:r>
        <w:rPr>
          <w:rFonts w:ascii="Times New Roman" w:hAnsi="Times New Roman" w:cs="Times New Roman"/>
          <w:sz w:val="20"/>
          <w:szCs w:val="20"/>
          <w:lang w:val="en-US"/>
        </w:rPr>
        <w:t xml:space="preserve"> This figure displays the top 1</w:t>
      </w:r>
      <w:r w:rsidR="009E2E85">
        <w:rPr>
          <w:rFonts w:ascii="Times New Roman" w:hAnsi="Times New Roman" w:cs="Times New Roman"/>
          <w:sz w:val="20"/>
          <w:szCs w:val="20"/>
          <w:lang w:val="en-US"/>
        </w:rPr>
        <w:t xml:space="preserve"> percent</w:t>
      </w:r>
      <w:r>
        <w:rPr>
          <w:rFonts w:ascii="Times New Roman" w:hAnsi="Times New Roman" w:cs="Times New Roman"/>
          <w:sz w:val="20"/>
          <w:szCs w:val="20"/>
          <w:lang w:val="en-US"/>
        </w:rPr>
        <w:t xml:space="preserve"> </w:t>
      </w:r>
      <w:r w:rsidR="00314AE3">
        <w:rPr>
          <w:rFonts w:ascii="Times New Roman" w:hAnsi="Times New Roman" w:cs="Times New Roman"/>
          <w:sz w:val="20"/>
          <w:szCs w:val="20"/>
          <w:lang w:val="en-US"/>
        </w:rPr>
        <w:t xml:space="preserve">wealth </w:t>
      </w:r>
      <w:r w:rsidR="006B7DFA" w:rsidRPr="006B7DFA">
        <w:rPr>
          <w:rFonts w:ascii="Times New Roman" w:hAnsi="Times New Roman" w:cs="Times New Roman"/>
          <w:sz w:val="20"/>
          <w:szCs w:val="20"/>
          <w:lang w:val="en-US"/>
        </w:rPr>
        <w:t>share obta</w:t>
      </w:r>
      <w:r w:rsidR="006B7DFA">
        <w:rPr>
          <w:rFonts w:ascii="Times New Roman" w:hAnsi="Times New Roman" w:cs="Times New Roman"/>
          <w:sz w:val="20"/>
          <w:szCs w:val="20"/>
          <w:lang w:val="en-US"/>
        </w:rPr>
        <w:t>ined by capitalizing incomes and</w:t>
      </w:r>
      <w:r w:rsidR="00CA1411">
        <w:rPr>
          <w:rFonts w:ascii="Times New Roman" w:hAnsi="Times New Roman" w:cs="Times New Roman"/>
          <w:sz w:val="20"/>
          <w:szCs w:val="20"/>
          <w:lang w:val="en-US"/>
        </w:rPr>
        <w:t xml:space="preserve"> obtained from</w:t>
      </w:r>
      <w:r w:rsidR="006B7DFA" w:rsidRPr="006B7DFA">
        <w:rPr>
          <w:rFonts w:ascii="Times New Roman" w:hAnsi="Times New Roman" w:cs="Times New Roman"/>
          <w:sz w:val="20"/>
          <w:szCs w:val="20"/>
          <w:lang w:val="en-US"/>
        </w:rPr>
        <w:t xml:space="preserve"> the Survey of Consumer Finances (SCF). The</w:t>
      </w:r>
      <w:r w:rsidR="00E7736E">
        <w:rPr>
          <w:rFonts w:ascii="Times New Roman" w:hAnsi="Times New Roman" w:cs="Times New Roman"/>
          <w:sz w:val="20"/>
          <w:szCs w:val="20"/>
          <w:lang w:val="en-US"/>
        </w:rPr>
        <w:t xml:space="preserve"> </w:t>
      </w:r>
      <w:r w:rsidR="006B7DFA" w:rsidRPr="006B7DFA">
        <w:rPr>
          <w:rFonts w:ascii="Times New Roman" w:hAnsi="Times New Roman" w:cs="Times New Roman"/>
          <w:sz w:val="20"/>
          <w:szCs w:val="20"/>
          <w:lang w:val="en-US"/>
        </w:rPr>
        <w:t>wealth of the Forbes 400</w:t>
      </w:r>
      <w:r w:rsidR="00496CC5">
        <w:rPr>
          <w:rFonts w:ascii="Times New Roman" w:hAnsi="Times New Roman" w:cs="Times New Roman"/>
          <w:sz w:val="20"/>
          <w:szCs w:val="20"/>
          <w:lang w:val="en-US"/>
        </w:rPr>
        <w:t xml:space="preserve"> richest Americans</w:t>
      </w:r>
      <w:r w:rsidR="006B7DFA" w:rsidRPr="006B7DFA">
        <w:rPr>
          <w:rFonts w:ascii="Times New Roman" w:hAnsi="Times New Roman" w:cs="Times New Roman"/>
          <w:sz w:val="20"/>
          <w:szCs w:val="20"/>
          <w:lang w:val="en-US"/>
        </w:rPr>
        <w:t xml:space="preserve"> (which by design are excluded from the SCF) is added to the wealth of the top 1</w:t>
      </w:r>
      <w:r w:rsidR="009E2E85">
        <w:rPr>
          <w:rFonts w:ascii="Times New Roman" w:hAnsi="Times New Roman" w:cs="Times New Roman"/>
          <w:sz w:val="20"/>
          <w:szCs w:val="20"/>
          <w:lang w:val="en-US"/>
        </w:rPr>
        <w:t xml:space="preserve"> percent</w:t>
      </w:r>
      <w:r w:rsidR="006B7DFA" w:rsidRPr="006B7DFA">
        <w:rPr>
          <w:rFonts w:ascii="Times New Roman" w:hAnsi="Times New Roman" w:cs="Times New Roman"/>
          <w:sz w:val="20"/>
          <w:szCs w:val="20"/>
          <w:lang w:val="en-US"/>
        </w:rPr>
        <w:t xml:space="preserve"> in the SCF. The unit of observation is tax units</w:t>
      </w:r>
      <w:r w:rsidR="00E7736E">
        <w:rPr>
          <w:rFonts w:ascii="Times New Roman" w:hAnsi="Times New Roman" w:cs="Times New Roman"/>
          <w:sz w:val="20"/>
          <w:szCs w:val="20"/>
          <w:lang w:val="en-US"/>
        </w:rPr>
        <w:t xml:space="preserve"> </w:t>
      </w:r>
      <w:r w:rsidR="006B7DFA" w:rsidRPr="006B7DFA">
        <w:rPr>
          <w:rFonts w:ascii="Times New Roman" w:hAnsi="Times New Roman" w:cs="Times New Roman"/>
          <w:sz w:val="20"/>
          <w:szCs w:val="20"/>
          <w:lang w:val="en-US"/>
        </w:rPr>
        <w:t>for capitalized incomes an</w:t>
      </w:r>
      <w:bookmarkStart w:id="0" w:name="_GoBack"/>
      <w:bookmarkEnd w:id="0"/>
      <w:r w:rsidR="006B7DFA" w:rsidRPr="006B7DFA">
        <w:rPr>
          <w:rFonts w:ascii="Times New Roman" w:hAnsi="Times New Roman" w:cs="Times New Roman"/>
          <w:sz w:val="20"/>
          <w:szCs w:val="20"/>
          <w:lang w:val="en-US"/>
        </w:rPr>
        <w:t xml:space="preserve">d households for the SCF. </w:t>
      </w:r>
    </w:p>
    <w:p w14:paraId="6F33C62C" w14:textId="1F0718ED" w:rsidR="00573C52" w:rsidRPr="00E7736E" w:rsidRDefault="006B7DFA" w:rsidP="006B7DFA">
      <w:pPr>
        <w:spacing w:after="120" w:line="360" w:lineRule="auto"/>
        <w:jc w:val="both"/>
        <w:rPr>
          <w:rFonts w:ascii="Times New Roman" w:hAnsi="Times New Roman" w:cs="Times New Roman"/>
          <w:sz w:val="20"/>
          <w:szCs w:val="20"/>
          <w:lang w:val="en-US"/>
        </w:rPr>
      </w:pPr>
      <w:r w:rsidRPr="001804F8">
        <w:rPr>
          <w:rFonts w:ascii="Times New Roman" w:hAnsi="Times New Roman" w:cs="Times New Roman"/>
          <w:i/>
          <w:sz w:val="20"/>
          <w:szCs w:val="20"/>
          <w:lang w:val="en-US"/>
        </w:rPr>
        <w:t>Source:</w:t>
      </w:r>
      <w:r w:rsidRPr="006B7DFA">
        <w:rPr>
          <w:rFonts w:ascii="Times New Roman" w:hAnsi="Times New Roman" w:cs="Times New Roman"/>
          <w:sz w:val="20"/>
          <w:szCs w:val="20"/>
          <w:lang w:val="en-US"/>
        </w:rPr>
        <w:t xml:space="preserve"> Saez and </w:t>
      </w:r>
      <w:proofErr w:type="spellStart"/>
      <w:r w:rsidRPr="006B7DFA">
        <w:rPr>
          <w:rFonts w:ascii="Times New Roman" w:hAnsi="Times New Roman" w:cs="Times New Roman"/>
          <w:sz w:val="20"/>
          <w:szCs w:val="20"/>
          <w:lang w:val="en-US"/>
        </w:rPr>
        <w:t>Zucman</w:t>
      </w:r>
      <w:proofErr w:type="spellEnd"/>
      <w:r w:rsidRPr="006B7DFA">
        <w:rPr>
          <w:rFonts w:ascii="Times New Roman" w:hAnsi="Times New Roman" w:cs="Times New Roman"/>
          <w:sz w:val="20"/>
          <w:szCs w:val="20"/>
          <w:lang w:val="en-US"/>
        </w:rPr>
        <w:t xml:space="preserve"> (2016), updated, and Bricker et al. (2017).</w:t>
      </w:r>
      <w:r w:rsidR="007A047D">
        <w:rPr>
          <w:rFonts w:ascii="Times New Roman" w:hAnsi="Times New Roman" w:cs="Times New Roman"/>
          <w:sz w:val="20"/>
          <w:szCs w:val="20"/>
          <w:lang w:val="en-US"/>
        </w:rPr>
        <w:t xml:space="preserve"> Series are reproduced from</w:t>
      </w:r>
      <w:r w:rsidR="00B6323E">
        <w:rPr>
          <w:rFonts w:ascii="Times New Roman" w:hAnsi="Times New Roman" w:cs="Times New Roman"/>
          <w:sz w:val="20"/>
          <w:szCs w:val="20"/>
          <w:lang w:val="en-US"/>
        </w:rPr>
        <w:t xml:space="preserve"> </w:t>
      </w:r>
      <w:proofErr w:type="spellStart"/>
      <w:r w:rsidR="00B6323E">
        <w:rPr>
          <w:rFonts w:ascii="Times New Roman" w:hAnsi="Times New Roman" w:cs="Times New Roman"/>
          <w:sz w:val="20"/>
          <w:szCs w:val="20"/>
          <w:lang w:val="en-US"/>
        </w:rPr>
        <w:t>Zucman</w:t>
      </w:r>
      <w:proofErr w:type="spellEnd"/>
      <w:r w:rsidR="00B6323E">
        <w:rPr>
          <w:rFonts w:ascii="Times New Roman" w:hAnsi="Times New Roman" w:cs="Times New Roman"/>
          <w:sz w:val="20"/>
          <w:szCs w:val="20"/>
          <w:lang w:val="en-US"/>
        </w:rPr>
        <w:t xml:space="preserve"> (2019), Figure 2.</w:t>
      </w:r>
    </w:p>
    <w:p w14:paraId="4B25967D" w14:textId="77777777" w:rsidR="00F139A4" w:rsidRPr="004D5857" w:rsidRDefault="00F139A4" w:rsidP="008A720A">
      <w:pPr>
        <w:jc w:val="both"/>
        <w:rPr>
          <w:rFonts w:ascii="Times New Roman" w:hAnsi="Times New Roman" w:cs="Times New Roman"/>
          <w:lang w:val="en-US"/>
        </w:rPr>
      </w:pPr>
    </w:p>
    <w:sectPr w:rsidR="00F139A4" w:rsidRPr="004D5857" w:rsidSect="00B10E23">
      <w:footerReference w:type="even" r:id="rId15"/>
      <w:footerReference w:type="default" r:id="rId16"/>
      <w:pgSz w:w="12240" w:h="15840"/>
      <w:pgMar w:top="1440" w:right="1440" w:bottom="1440" w:left="1440" w:header="0" w:footer="28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82ADA" w14:textId="77777777" w:rsidR="00787A21" w:rsidRDefault="00787A21" w:rsidP="004E5A79">
      <w:r>
        <w:separator/>
      </w:r>
    </w:p>
  </w:endnote>
  <w:endnote w:type="continuationSeparator" w:id="0">
    <w:p w14:paraId="0D1677E7" w14:textId="77777777" w:rsidR="00787A21" w:rsidRDefault="00787A21" w:rsidP="004E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Yu Gothic Light">
    <w:panose1 w:val="00000000000000000000"/>
    <w:charset w:val="80"/>
    <w:family w:val="swiss"/>
    <w:notTrueType/>
    <w:pitch w:val="variable"/>
    <w:sig w:usb0="E00002FF" w:usb1="2AC7FDFF" w:usb2="00000016" w:usb3="00000000" w:csb0="0002009F" w:csb1="00000000"/>
  </w:font>
  <w:font w:name="Calibri Light">
    <w:altName w:val="Tahoma"/>
    <w:charset w:val="00"/>
    <w:family w:val="swiss"/>
    <w:pitch w:val="variable"/>
    <w:sig w:usb0="E0002AFF" w:usb1="C000247B" w:usb2="00000009" w:usb3="00000000" w:csb0="000001F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8ACB" w14:textId="77777777" w:rsidR="00787A21" w:rsidRDefault="00787A21" w:rsidP="00ED4A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1DC3FD" w14:textId="77777777" w:rsidR="00787A21" w:rsidRDefault="00787A2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B8629" w14:textId="77777777" w:rsidR="00787A21" w:rsidRPr="00CA2585" w:rsidRDefault="00787A21" w:rsidP="00ED4AB9">
    <w:pPr>
      <w:pStyle w:val="Footer"/>
      <w:framePr w:wrap="around" w:vAnchor="text" w:hAnchor="margin" w:xAlign="center" w:y="1"/>
      <w:rPr>
        <w:rStyle w:val="PageNumber"/>
        <w:rFonts w:ascii="Times New Roman" w:hAnsi="Times New Roman" w:cs="Times New Roman"/>
      </w:rPr>
    </w:pPr>
    <w:r w:rsidRPr="00CA2585">
      <w:rPr>
        <w:rStyle w:val="PageNumber"/>
        <w:rFonts w:ascii="Times New Roman" w:hAnsi="Times New Roman" w:cs="Times New Roman"/>
      </w:rPr>
      <w:fldChar w:fldCharType="begin"/>
    </w:r>
    <w:r w:rsidRPr="00CA2585">
      <w:rPr>
        <w:rStyle w:val="PageNumber"/>
        <w:rFonts w:ascii="Times New Roman" w:hAnsi="Times New Roman" w:cs="Times New Roman"/>
      </w:rPr>
      <w:instrText xml:space="preserve">PAGE  </w:instrText>
    </w:r>
    <w:r w:rsidRPr="00CA2585">
      <w:rPr>
        <w:rStyle w:val="PageNumber"/>
        <w:rFonts w:ascii="Times New Roman" w:hAnsi="Times New Roman" w:cs="Times New Roman"/>
      </w:rPr>
      <w:fldChar w:fldCharType="separate"/>
    </w:r>
    <w:r w:rsidR="001804F8">
      <w:rPr>
        <w:rStyle w:val="PageNumber"/>
        <w:rFonts w:ascii="Times New Roman" w:hAnsi="Times New Roman" w:cs="Times New Roman"/>
        <w:noProof/>
      </w:rPr>
      <w:t>15</w:t>
    </w:r>
    <w:r w:rsidRPr="00CA2585">
      <w:rPr>
        <w:rStyle w:val="PageNumber"/>
        <w:rFonts w:ascii="Times New Roman" w:hAnsi="Times New Roman" w:cs="Times New Roman"/>
      </w:rPr>
      <w:fldChar w:fldCharType="end"/>
    </w:r>
  </w:p>
  <w:p w14:paraId="09CBB2EB" w14:textId="77777777" w:rsidR="00787A21" w:rsidRDefault="00787A2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7E002" w14:textId="77777777" w:rsidR="00787A21" w:rsidRDefault="00787A21" w:rsidP="004E5A79">
      <w:r>
        <w:separator/>
      </w:r>
    </w:p>
  </w:footnote>
  <w:footnote w:type="continuationSeparator" w:id="0">
    <w:p w14:paraId="018BDF15" w14:textId="77777777" w:rsidR="00787A21" w:rsidRDefault="00787A21" w:rsidP="004E5A79">
      <w:r>
        <w:continuationSeparator/>
      </w:r>
    </w:p>
  </w:footnote>
  <w:footnote w:id="1">
    <w:p w14:paraId="5267936C" w14:textId="17AC6911" w:rsidR="00787A21" w:rsidRPr="00691AF7" w:rsidRDefault="00787A21" w:rsidP="00691AF7">
      <w:pPr>
        <w:pStyle w:val="FootnoteText"/>
        <w:jc w:val="both"/>
        <w:rPr>
          <w:lang w:val="en-US"/>
        </w:rPr>
      </w:pPr>
      <w:r w:rsidRPr="00691AF7">
        <w:rPr>
          <w:rStyle w:val="FootnoteReference"/>
          <w:lang w:val="en-US"/>
        </w:rPr>
        <w:t>*</w:t>
      </w:r>
      <w:r w:rsidRPr="00691AF7">
        <w:rPr>
          <w:rFonts w:ascii="Times New Roman" w:hAnsi="Times New Roman" w:cs="Times New Roman"/>
          <w:szCs w:val="24"/>
          <w:lang w:val="en-US"/>
        </w:rPr>
        <w:t xml:space="preserve"> </w:t>
      </w:r>
      <w:proofErr w:type="spellStart"/>
      <w:r w:rsidRPr="00691AF7">
        <w:rPr>
          <w:rFonts w:ascii="Times New Roman" w:hAnsi="Times New Roman" w:cs="Times New Roman"/>
          <w:szCs w:val="24"/>
          <w:lang w:val="en-US"/>
        </w:rPr>
        <w:t>Piketty</w:t>
      </w:r>
      <w:proofErr w:type="spellEnd"/>
      <w:r w:rsidRPr="00691AF7">
        <w:rPr>
          <w:rFonts w:ascii="Times New Roman" w:hAnsi="Times New Roman" w:cs="Times New Roman"/>
          <w:szCs w:val="24"/>
          <w:lang w:val="en-US"/>
        </w:rPr>
        <w:t xml:space="preserve">: Paris School of Economics, 48 Boulevard </w:t>
      </w:r>
      <w:proofErr w:type="spellStart"/>
      <w:r w:rsidRPr="00691AF7">
        <w:rPr>
          <w:rFonts w:ascii="Times New Roman" w:hAnsi="Times New Roman" w:cs="Times New Roman"/>
          <w:szCs w:val="24"/>
          <w:lang w:val="en-US"/>
        </w:rPr>
        <w:t>Jourdan</w:t>
      </w:r>
      <w:proofErr w:type="spellEnd"/>
      <w:r w:rsidRPr="00691AF7">
        <w:rPr>
          <w:rFonts w:ascii="Times New Roman" w:hAnsi="Times New Roman" w:cs="Times New Roman"/>
          <w:szCs w:val="24"/>
          <w:lang w:val="en-US"/>
        </w:rPr>
        <w:t xml:space="preserve">, 75014 Paris, (e-mail: </w:t>
      </w:r>
      <w:hyperlink r:id="rId1" w:history="1">
        <w:r w:rsidRPr="00691AF7">
          <w:rPr>
            <w:rStyle w:val="Hyperlink"/>
            <w:rFonts w:ascii="Times New Roman" w:hAnsi="Times New Roman" w:cs="Times New Roman"/>
            <w:szCs w:val="24"/>
            <w:lang w:val="en-US"/>
          </w:rPr>
          <w:t>piketty@psemail.eu</w:t>
        </w:r>
      </w:hyperlink>
      <w:r w:rsidRPr="00691AF7">
        <w:rPr>
          <w:rFonts w:ascii="Times New Roman" w:hAnsi="Times New Roman" w:cs="Times New Roman"/>
          <w:szCs w:val="24"/>
          <w:lang w:val="en-US"/>
        </w:rPr>
        <w:t xml:space="preserve">); Saez: University of California, Berkeley, CA 94720, (e-mail: </w:t>
      </w:r>
      <w:hyperlink r:id="rId2" w:history="1">
        <w:r w:rsidRPr="00691AF7">
          <w:rPr>
            <w:rStyle w:val="Hyperlink"/>
            <w:rFonts w:ascii="Times New Roman" w:hAnsi="Times New Roman" w:cs="Times New Roman"/>
            <w:szCs w:val="24"/>
            <w:lang w:val="en-US"/>
          </w:rPr>
          <w:t>saez@econ.berkeley.edu</w:t>
        </w:r>
      </w:hyperlink>
      <w:r w:rsidRPr="00691AF7">
        <w:rPr>
          <w:rFonts w:ascii="Times New Roman" w:hAnsi="Times New Roman" w:cs="Times New Roman"/>
          <w:szCs w:val="24"/>
          <w:lang w:val="en-US"/>
        </w:rPr>
        <w:t xml:space="preserve">); </w:t>
      </w:r>
      <w:proofErr w:type="spellStart"/>
      <w:r w:rsidRPr="00691AF7">
        <w:rPr>
          <w:rFonts w:ascii="Times New Roman" w:hAnsi="Times New Roman" w:cs="Times New Roman"/>
          <w:szCs w:val="24"/>
          <w:lang w:val="en-US"/>
        </w:rPr>
        <w:t>Zucman</w:t>
      </w:r>
      <w:proofErr w:type="spellEnd"/>
      <w:r w:rsidRPr="00691AF7">
        <w:rPr>
          <w:rFonts w:ascii="Times New Roman" w:hAnsi="Times New Roman" w:cs="Times New Roman"/>
          <w:szCs w:val="24"/>
          <w:lang w:val="en-US"/>
        </w:rPr>
        <w:t xml:space="preserve">: University of California, Berkeley, CA 94720, (e-mail: </w:t>
      </w:r>
      <w:hyperlink r:id="rId3" w:history="1">
        <w:r w:rsidRPr="00691AF7">
          <w:rPr>
            <w:rStyle w:val="Hyperlink"/>
            <w:rFonts w:ascii="Times New Roman" w:hAnsi="Times New Roman" w:cs="Times New Roman"/>
            <w:szCs w:val="24"/>
            <w:lang w:val="en-US"/>
          </w:rPr>
          <w:t>zucman@berkeley.edu</w:t>
        </w:r>
      </w:hyperlink>
      <w:r w:rsidRPr="00691AF7">
        <w:rPr>
          <w:rFonts w:ascii="Times New Roman" w:hAnsi="Times New Roman" w:cs="Times New Roman"/>
          <w:szCs w:val="24"/>
          <w:lang w:val="en-US"/>
        </w:rPr>
        <w:t>). We acknowledge funding from the Berkeley Center for Equitable Growth, the Sandler Foundation, and the Institute for New Economic Thinking. We thank Katherine Abraham and David Johnson for helpful comments and discussions.</w:t>
      </w:r>
    </w:p>
  </w:footnote>
  <w:footnote w:id="2">
    <w:p w14:paraId="52BDF91C" w14:textId="307CCD01" w:rsidR="00787A21" w:rsidRPr="00691AF7" w:rsidRDefault="00787A21" w:rsidP="00691AF7">
      <w:pPr>
        <w:pStyle w:val="FootnoteText"/>
        <w:jc w:val="both"/>
        <w:rPr>
          <w:lang w:val="en-US"/>
        </w:rPr>
      </w:pPr>
      <w:r w:rsidRPr="00691AF7">
        <w:rPr>
          <w:rStyle w:val="FootnoteReference"/>
          <w:lang w:val="en-US"/>
        </w:rPr>
        <w:footnoteRef/>
      </w:r>
      <w:r w:rsidRPr="00691AF7">
        <w:rPr>
          <w:lang w:val="en-US"/>
        </w:rPr>
        <w:t xml:space="preserve"> Such series exist for a large number of countries and are available online in the World Inequality Database </w:t>
      </w:r>
      <w:proofErr w:type="spellStart"/>
      <w:r w:rsidRPr="00691AF7">
        <w:rPr>
          <w:lang w:val="en-US"/>
        </w:rPr>
        <w:t>wid.world</w:t>
      </w:r>
      <w:proofErr w:type="spellEnd"/>
      <w:r w:rsidRPr="00691AF7">
        <w:rPr>
          <w:lang w:val="en-US"/>
        </w:rPr>
        <w:t xml:space="preserve">. See Atkinson, </w:t>
      </w:r>
      <w:proofErr w:type="spellStart"/>
      <w:r w:rsidRPr="00691AF7">
        <w:rPr>
          <w:lang w:val="en-US"/>
        </w:rPr>
        <w:t>Piketty</w:t>
      </w:r>
      <w:proofErr w:type="spellEnd"/>
      <w:r w:rsidRPr="00691AF7">
        <w:rPr>
          <w:lang w:val="en-US"/>
        </w:rPr>
        <w:t xml:space="preserve">, and Saez </w:t>
      </w:r>
      <w:r>
        <w:rPr>
          <w:lang w:val="en-US"/>
        </w:rPr>
        <w:t>(</w:t>
      </w:r>
      <w:r w:rsidRPr="00691AF7">
        <w:rPr>
          <w:lang w:val="en-US"/>
        </w:rPr>
        <w:t>2011</w:t>
      </w:r>
      <w:r>
        <w:rPr>
          <w:lang w:val="en-US"/>
        </w:rPr>
        <w:t>)</w:t>
      </w:r>
      <w:r w:rsidRPr="00691AF7">
        <w:rPr>
          <w:lang w:val="en-US"/>
        </w:rPr>
        <w:t xml:space="preserve"> for a review of this literature.</w:t>
      </w:r>
    </w:p>
  </w:footnote>
  <w:footnote w:id="3">
    <w:p w14:paraId="4C01C83E" w14:textId="5C2F308B" w:rsidR="00787A21" w:rsidRPr="00691AF7" w:rsidRDefault="00787A21" w:rsidP="00691AF7">
      <w:pPr>
        <w:pStyle w:val="FootnoteText"/>
        <w:jc w:val="both"/>
        <w:rPr>
          <w:lang w:val="en-US"/>
        </w:rPr>
      </w:pPr>
      <w:r w:rsidRPr="00691AF7">
        <w:rPr>
          <w:rStyle w:val="FootnoteReference"/>
          <w:lang w:val="en-US"/>
        </w:rPr>
        <w:footnoteRef/>
      </w:r>
      <w:r w:rsidRPr="00691AF7">
        <w:rPr>
          <w:lang w:val="en-US"/>
        </w:rPr>
        <w:t xml:space="preserve"> </w:t>
      </w:r>
      <w:proofErr w:type="spellStart"/>
      <w:r w:rsidRPr="00691AF7">
        <w:rPr>
          <w:lang w:val="en-US"/>
        </w:rPr>
        <w:t>Auten</w:t>
      </w:r>
      <w:proofErr w:type="spellEnd"/>
      <w:r w:rsidRPr="00691AF7">
        <w:rPr>
          <w:lang w:val="en-US"/>
        </w:rPr>
        <w:t xml:space="preserve"> and Splinter (2018) estimates--as well as the Congressional Budget Office estimates, CBO 2018)--do not use consistent definitions when ranking units to define the top 1</w:t>
      </w:r>
      <w:r w:rsidR="009E2E85">
        <w:rPr>
          <w:lang w:val="en-US"/>
        </w:rPr>
        <w:t xml:space="preserve"> percent</w:t>
      </w:r>
      <w:r w:rsidRPr="00691AF7">
        <w:rPr>
          <w:lang w:val="en-US"/>
        </w:rPr>
        <w:t xml:space="preserve"> and when defining income to compute top income shares. Incomes for ranking are normalized by household size including children but incomes for computing top shares are not. This inconsistency in definitions mechanically biases downward the top 1</w:t>
      </w:r>
      <w:r w:rsidR="009E2E85">
        <w:rPr>
          <w:lang w:val="en-US"/>
        </w:rPr>
        <w:t xml:space="preserve"> percent</w:t>
      </w:r>
      <w:r w:rsidRPr="00691AF7">
        <w:rPr>
          <w:lang w:val="en-US"/>
        </w:rPr>
        <w:t xml:space="preserve"> income share (as the incomes of the top 1</w:t>
      </w:r>
      <w:r w:rsidR="009E2E85">
        <w:rPr>
          <w:lang w:val="en-US"/>
        </w:rPr>
        <w:t xml:space="preserve"> percent</w:t>
      </w:r>
      <w:r w:rsidRPr="00691AF7">
        <w:rPr>
          <w:lang w:val="en-US"/>
        </w:rPr>
        <w:t xml:space="preserve"> are actually not the highest top 1</w:t>
      </w:r>
      <w:r w:rsidR="009E2E85">
        <w:rPr>
          <w:lang w:val="en-US"/>
        </w:rPr>
        <w:t xml:space="preserve"> percent</w:t>
      </w:r>
      <w:r w:rsidRPr="00691AF7">
        <w:rPr>
          <w:lang w:val="en-US"/>
        </w:rPr>
        <w:t xml:space="preserve"> incomes). This does not seem sensible to us. In our view, the top 1</w:t>
      </w:r>
      <w:r w:rsidR="009E2E85">
        <w:rPr>
          <w:lang w:val="en-US"/>
        </w:rPr>
        <w:t xml:space="preserve"> percent</w:t>
      </w:r>
      <w:r w:rsidRPr="00691AF7">
        <w:rPr>
          <w:lang w:val="en-US"/>
        </w:rPr>
        <w:t xml:space="preserve"> should be the top 1</w:t>
      </w:r>
      <w:r w:rsidR="009E2E85">
        <w:rPr>
          <w:lang w:val="en-US"/>
        </w:rPr>
        <w:t xml:space="preserve"> percent</w:t>
      </w:r>
      <w:r w:rsidRPr="00691AF7">
        <w:rPr>
          <w:lang w:val="en-US"/>
        </w:rPr>
        <w:t xml:space="preserve"> highest income </w:t>
      </w:r>
      <w:proofErr w:type="gramStart"/>
      <w:r w:rsidRPr="00691AF7">
        <w:rPr>
          <w:lang w:val="en-US"/>
        </w:rPr>
        <w:t>earners</w:t>
      </w:r>
      <w:proofErr w:type="gramEnd"/>
      <w:r w:rsidRPr="00691AF7">
        <w:rPr>
          <w:lang w:val="en-US"/>
        </w:rPr>
        <w:t xml:space="preserve">. </w:t>
      </w:r>
    </w:p>
  </w:footnote>
  <w:footnote w:id="4">
    <w:p w14:paraId="7B5C31CE" w14:textId="46BACA20" w:rsidR="00787A21" w:rsidRPr="00691AF7" w:rsidRDefault="00787A21" w:rsidP="00691AF7">
      <w:pPr>
        <w:pStyle w:val="FootnoteText"/>
        <w:jc w:val="both"/>
        <w:rPr>
          <w:lang w:val="en-US"/>
        </w:rPr>
      </w:pPr>
      <w:r w:rsidRPr="00691AF7">
        <w:rPr>
          <w:rStyle w:val="FootnoteReference"/>
          <w:lang w:val="en-US"/>
        </w:rPr>
        <w:footnoteRef/>
      </w:r>
      <w:r w:rsidRPr="00691AF7">
        <w:rPr>
          <w:lang w:val="en-US"/>
        </w:rPr>
        <w:t xml:space="preserve"> The classical reference on the distribution of under-reported income Johns and </w:t>
      </w:r>
      <w:proofErr w:type="spellStart"/>
      <w:r w:rsidRPr="00691AF7">
        <w:rPr>
          <w:lang w:val="en-US"/>
        </w:rPr>
        <w:t>Slemrod</w:t>
      </w:r>
      <w:proofErr w:type="spellEnd"/>
      <w:r w:rsidRPr="00691AF7">
        <w:rPr>
          <w:lang w:val="en-US"/>
        </w:rPr>
        <w:t xml:space="preserve"> (2010) finds that adding under-reported income does not affect the distribution of fiscal income (their Table 5). Johns and </w:t>
      </w:r>
      <w:proofErr w:type="spellStart"/>
      <w:r w:rsidRPr="00691AF7">
        <w:rPr>
          <w:lang w:val="en-US"/>
        </w:rPr>
        <w:t>Slemrod</w:t>
      </w:r>
      <w:proofErr w:type="spellEnd"/>
      <w:r w:rsidRPr="00691AF7">
        <w:rPr>
          <w:lang w:val="en-US"/>
        </w:rPr>
        <w:t xml:space="preserve"> (2010) also find that the fraction of Schedule C business income evaded by the top 0.5</w:t>
      </w:r>
      <w:r w:rsidR="009E2E85">
        <w:rPr>
          <w:lang w:val="en-US"/>
        </w:rPr>
        <w:t xml:space="preserve"> percent</w:t>
      </w:r>
      <w:r w:rsidRPr="00691AF7">
        <w:rPr>
          <w:lang w:val="en-US"/>
        </w:rPr>
        <w:t xml:space="preserve"> is 55</w:t>
      </w:r>
      <w:r w:rsidR="009E2E85">
        <w:rPr>
          <w:lang w:val="en-US"/>
        </w:rPr>
        <w:t xml:space="preserve"> percent</w:t>
      </w:r>
      <w:r w:rsidRPr="00691AF7">
        <w:rPr>
          <w:lang w:val="en-US"/>
        </w:rPr>
        <w:t xml:space="preserve"> and almost identical to the full population average of 57</w:t>
      </w:r>
      <w:r w:rsidR="009E2E85">
        <w:rPr>
          <w:lang w:val="en-US"/>
        </w:rPr>
        <w:t xml:space="preserve"> percent</w:t>
      </w:r>
      <w:r w:rsidRPr="00691AF7">
        <w:rPr>
          <w:lang w:val="en-US"/>
        </w:rPr>
        <w:t xml:space="preserve"> (their Table 4). This is consistent with PSZ methodology but in sharp contrast to </w:t>
      </w:r>
      <w:proofErr w:type="spellStart"/>
      <w:r w:rsidRPr="00691AF7">
        <w:rPr>
          <w:lang w:val="en-US"/>
        </w:rPr>
        <w:t>Auten</w:t>
      </w:r>
      <w:proofErr w:type="spellEnd"/>
      <w:r w:rsidRPr="00691AF7">
        <w:rPr>
          <w:lang w:val="en-US"/>
        </w:rPr>
        <w:t xml:space="preserve"> and Splinter (2018) who attribute a disproportionally large and growing fraction of under-reported income to the bottom 90</w:t>
      </w:r>
      <w:r w:rsidR="009E2E85">
        <w:rPr>
          <w:lang w:val="en-US"/>
        </w:rPr>
        <w:t xml:space="preserve"> percent</w:t>
      </w:r>
      <w:r w:rsidRPr="00691AF7">
        <w:rPr>
          <w:lang w:val="en-US"/>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D1983"/>
    <w:multiLevelType w:val="hybridMultilevel"/>
    <w:tmpl w:val="01183D8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79"/>
    <w:rsid w:val="00000422"/>
    <w:rsid w:val="00000FE0"/>
    <w:rsid w:val="00001A3E"/>
    <w:rsid w:val="00002832"/>
    <w:rsid w:val="00006100"/>
    <w:rsid w:val="00006C21"/>
    <w:rsid w:val="000122F0"/>
    <w:rsid w:val="000135D7"/>
    <w:rsid w:val="00013CD7"/>
    <w:rsid w:val="000140D2"/>
    <w:rsid w:val="00014E3B"/>
    <w:rsid w:val="00020191"/>
    <w:rsid w:val="00020975"/>
    <w:rsid w:val="00020CA9"/>
    <w:rsid w:val="00021DA0"/>
    <w:rsid w:val="00021E27"/>
    <w:rsid w:val="0002290E"/>
    <w:rsid w:val="00022E10"/>
    <w:rsid w:val="00023136"/>
    <w:rsid w:val="0002467B"/>
    <w:rsid w:val="000265C6"/>
    <w:rsid w:val="00027666"/>
    <w:rsid w:val="00032EEC"/>
    <w:rsid w:val="0003332C"/>
    <w:rsid w:val="00033400"/>
    <w:rsid w:val="000350AA"/>
    <w:rsid w:val="00035102"/>
    <w:rsid w:val="000373E1"/>
    <w:rsid w:val="00041030"/>
    <w:rsid w:val="00043F80"/>
    <w:rsid w:val="00045A7F"/>
    <w:rsid w:val="00045EF9"/>
    <w:rsid w:val="0004677E"/>
    <w:rsid w:val="00046DC0"/>
    <w:rsid w:val="00047353"/>
    <w:rsid w:val="00054004"/>
    <w:rsid w:val="00054D4C"/>
    <w:rsid w:val="00056B96"/>
    <w:rsid w:val="00056C7C"/>
    <w:rsid w:val="000635A3"/>
    <w:rsid w:val="00063A7A"/>
    <w:rsid w:val="00063C80"/>
    <w:rsid w:val="00064166"/>
    <w:rsid w:val="000643F3"/>
    <w:rsid w:val="00064503"/>
    <w:rsid w:val="0006577E"/>
    <w:rsid w:val="00067513"/>
    <w:rsid w:val="00067E3E"/>
    <w:rsid w:val="00070EAF"/>
    <w:rsid w:val="00073AB1"/>
    <w:rsid w:val="00074CD4"/>
    <w:rsid w:val="00075B1D"/>
    <w:rsid w:val="0007696B"/>
    <w:rsid w:val="00077354"/>
    <w:rsid w:val="00077AAA"/>
    <w:rsid w:val="00077F3F"/>
    <w:rsid w:val="00084EC2"/>
    <w:rsid w:val="000870C0"/>
    <w:rsid w:val="000904A7"/>
    <w:rsid w:val="00090FC0"/>
    <w:rsid w:val="0009196A"/>
    <w:rsid w:val="00092BC7"/>
    <w:rsid w:val="00093DDD"/>
    <w:rsid w:val="00093F41"/>
    <w:rsid w:val="00095726"/>
    <w:rsid w:val="00095E78"/>
    <w:rsid w:val="00096855"/>
    <w:rsid w:val="00097D26"/>
    <w:rsid w:val="000A0344"/>
    <w:rsid w:val="000A076E"/>
    <w:rsid w:val="000A0B30"/>
    <w:rsid w:val="000A10F7"/>
    <w:rsid w:val="000A1231"/>
    <w:rsid w:val="000A1D4D"/>
    <w:rsid w:val="000A2161"/>
    <w:rsid w:val="000A2D66"/>
    <w:rsid w:val="000A4A7A"/>
    <w:rsid w:val="000A52D6"/>
    <w:rsid w:val="000A6DB1"/>
    <w:rsid w:val="000A6F7D"/>
    <w:rsid w:val="000A7FFC"/>
    <w:rsid w:val="000B03AF"/>
    <w:rsid w:val="000B188C"/>
    <w:rsid w:val="000B355D"/>
    <w:rsid w:val="000B5B43"/>
    <w:rsid w:val="000B5B4D"/>
    <w:rsid w:val="000B5E93"/>
    <w:rsid w:val="000C002C"/>
    <w:rsid w:val="000C0463"/>
    <w:rsid w:val="000C0AA4"/>
    <w:rsid w:val="000C2166"/>
    <w:rsid w:val="000C2E34"/>
    <w:rsid w:val="000D0186"/>
    <w:rsid w:val="000D1CF0"/>
    <w:rsid w:val="000D3694"/>
    <w:rsid w:val="000D3E2A"/>
    <w:rsid w:val="000D4E20"/>
    <w:rsid w:val="000D5860"/>
    <w:rsid w:val="000D605E"/>
    <w:rsid w:val="000D71AE"/>
    <w:rsid w:val="000E2246"/>
    <w:rsid w:val="000E2D9B"/>
    <w:rsid w:val="000E36D0"/>
    <w:rsid w:val="000E506B"/>
    <w:rsid w:val="000F38CE"/>
    <w:rsid w:val="000F3A4E"/>
    <w:rsid w:val="000F62F5"/>
    <w:rsid w:val="000F6A65"/>
    <w:rsid w:val="000F7F95"/>
    <w:rsid w:val="00100193"/>
    <w:rsid w:val="00100399"/>
    <w:rsid w:val="00100FEB"/>
    <w:rsid w:val="00103285"/>
    <w:rsid w:val="00103B5E"/>
    <w:rsid w:val="00104B65"/>
    <w:rsid w:val="001057D6"/>
    <w:rsid w:val="00105B77"/>
    <w:rsid w:val="00107DA3"/>
    <w:rsid w:val="00111CA0"/>
    <w:rsid w:val="001128F9"/>
    <w:rsid w:val="00113F14"/>
    <w:rsid w:val="00115D99"/>
    <w:rsid w:val="001164C0"/>
    <w:rsid w:val="001174FD"/>
    <w:rsid w:val="001179F0"/>
    <w:rsid w:val="0012332C"/>
    <w:rsid w:val="00123949"/>
    <w:rsid w:val="0012409B"/>
    <w:rsid w:val="00124D68"/>
    <w:rsid w:val="00125C9D"/>
    <w:rsid w:val="00127484"/>
    <w:rsid w:val="0013325B"/>
    <w:rsid w:val="00134E90"/>
    <w:rsid w:val="001377A6"/>
    <w:rsid w:val="00140E7A"/>
    <w:rsid w:val="001420FC"/>
    <w:rsid w:val="001425E3"/>
    <w:rsid w:val="00142E0A"/>
    <w:rsid w:val="00147A0E"/>
    <w:rsid w:val="00147FE7"/>
    <w:rsid w:val="001508F5"/>
    <w:rsid w:val="00150A0A"/>
    <w:rsid w:val="001525C9"/>
    <w:rsid w:val="00153DD1"/>
    <w:rsid w:val="0015698E"/>
    <w:rsid w:val="00157392"/>
    <w:rsid w:val="0016030C"/>
    <w:rsid w:val="00161154"/>
    <w:rsid w:val="00161632"/>
    <w:rsid w:val="00161E87"/>
    <w:rsid w:val="0016231F"/>
    <w:rsid w:val="00163B83"/>
    <w:rsid w:val="001677AB"/>
    <w:rsid w:val="00167F53"/>
    <w:rsid w:val="0017116F"/>
    <w:rsid w:val="001720DB"/>
    <w:rsid w:val="00172645"/>
    <w:rsid w:val="00176CDB"/>
    <w:rsid w:val="001777A4"/>
    <w:rsid w:val="001804F8"/>
    <w:rsid w:val="00180BA4"/>
    <w:rsid w:val="0018255A"/>
    <w:rsid w:val="00184A2E"/>
    <w:rsid w:val="00186E1D"/>
    <w:rsid w:val="00190BB9"/>
    <w:rsid w:val="0019261B"/>
    <w:rsid w:val="00192CF3"/>
    <w:rsid w:val="00194BF7"/>
    <w:rsid w:val="00194E47"/>
    <w:rsid w:val="0019535F"/>
    <w:rsid w:val="001954F1"/>
    <w:rsid w:val="00195673"/>
    <w:rsid w:val="0019696A"/>
    <w:rsid w:val="001A1A63"/>
    <w:rsid w:val="001A205A"/>
    <w:rsid w:val="001A2868"/>
    <w:rsid w:val="001A2C8C"/>
    <w:rsid w:val="001A2CA1"/>
    <w:rsid w:val="001A37B5"/>
    <w:rsid w:val="001A3F8E"/>
    <w:rsid w:val="001A59F8"/>
    <w:rsid w:val="001B045F"/>
    <w:rsid w:val="001B05AF"/>
    <w:rsid w:val="001B15BB"/>
    <w:rsid w:val="001B1874"/>
    <w:rsid w:val="001B2CBF"/>
    <w:rsid w:val="001B2E39"/>
    <w:rsid w:val="001B3D6D"/>
    <w:rsid w:val="001B489B"/>
    <w:rsid w:val="001B5AAA"/>
    <w:rsid w:val="001B601B"/>
    <w:rsid w:val="001B72E5"/>
    <w:rsid w:val="001B7A3B"/>
    <w:rsid w:val="001B7A9B"/>
    <w:rsid w:val="001C02C6"/>
    <w:rsid w:val="001C0901"/>
    <w:rsid w:val="001C143E"/>
    <w:rsid w:val="001C4B8D"/>
    <w:rsid w:val="001C5B46"/>
    <w:rsid w:val="001C6503"/>
    <w:rsid w:val="001C6907"/>
    <w:rsid w:val="001D1595"/>
    <w:rsid w:val="001D255F"/>
    <w:rsid w:val="001D4625"/>
    <w:rsid w:val="001D4A54"/>
    <w:rsid w:val="001D7D72"/>
    <w:rsid w:val="001E7449"/>
    <w:rsid w:val="001F1267"/>
    <w:rsid w:val="001F2549"/>
    <w:rsid w:val="001F3AD4"/>
    <w:rsid w:val="001F58C1"/>
    <w:rsid w:val="001F60CF"/>
    <w:rsid w:val="001F7EBD"/>
    <w:rsid w:val="00201034"/>
    <w:rsid w:val="00201E31"/>
    <w:rsid w:val="002029B9"/>
    <w:rsid w:val="0020411C"/>
    <w:rsid w:val="0020497C"/>
    <w:rsid w:val="00204BAF"/>
    <w:rsid w:val="00206F70"/>
    <w:rsid w:val="00207985"/>
    <w:rsid w:val="002116E5"/>
    <w:rsid w:val="00213552"/>
    <w:rsid w:val="0021392E"/>
    <w:rsid w:val="00214333"/>
    <w:rsid w:val="00214D88"/>
    <w:rsid w:val="00216A08"/>
    <w:rsid w:val="00217AE4"/>
    <w:rsid w:val="0022080F"/>
    <w:rsid w:val="0022128D"/>
    <w:rsid w:val="0022364B"/>
    <w:rsid w:val="00223A09"/>
    <w:rsid w:val="002246C4"/>
    <w:rsid w:val="002264C6"/>
    <w:rsid w:val="00226679"/>
    <w:rsid w:val="00230085"/>
    <w:rsid w:val="002313E2"/>
    <w:rsid w:val="0023384A"/>
    <w:rsid w:val="002340B7"/>
    <w:rsid w:val="00234D42"/>
    <w:rsid w:val="002352A8"/>
    <w:rsid w:val="00235713"/>
    <w:rsid w:val="002361EE"/>
    <w:rsid w:val="00236663"/>
    <w:rsid w:val="00240212"/>
    <w:rsid w:val="002417C1"/>
    <w:rsid w:val="002455E5"/>
    <w:rsid w:val="00245F00"/>
    <w:rsid w:val="00253219"/>
    <w:rsid w:val="00262111"/>
    <w:rsid w:val="00265809"/>
    <w:rsid w:val="00270625"/>
    <w:rsid w:val="00270A24"/>
    <w:rsid w:val="002711FB"/>
    <w:rsid w:val="00271FD5"/>
    <w:rsid w:val="00271FE8"/>
    <w:rsid w:val="002721F0"/>
    <w:rsid w:val="0027233A"/>
    <w:rsid w:val="00272752"/>
    <w:rsid w:val="00272C82"/>
    <w:rsid w:val="002739DD"/>
    <w:rsid w:val="002756A3"/>
    <w:rsid w:val="0027576E"/>
    <w:rsid w:val="00275CF4"/>
    <w:rsid w:val="002767AE"/>
    <w:rsid w:val="0027680A"/>
    <w:rsid w:val="00277A51"/>
    <w:rsid w:val="002811E2"/>
    <w:rsid w:val="002832E0"/>
    <w:rsid w:val="002841AE"/>
    <w:rsid w:val="00284D2F"/>
    <w:rsid w:val="002851F9"/>
    <w:rsid w:val="00285FF8"/>
    <w:rsid w:val="002865FB"/>
    <w:rsid w:val="0028787E"/>
    <w:rsid w:val="002878A3"/>
    <w:rsid w:val="00293963"/>
    <w:rsid w:val="00294380"/>
    <w:rsid w:val="0029525B"/>
    <w:rsid w:val="00295598"/>
    <w:rsid w:val="00295B96"/>
    <w:rsid w:val="00296461"/>
    <w:rsid w:val="002965A4"/>
    <w:rsid w:val="002977D7"/>
    <w:rsid w:val="002A02A2"/>
    <w:rsid w:val="002A1441"/>
    <w:rsid w:val="002B06D7"/>
    <w:rsid w:val="002B3472"/>
    <w:rsid w:val="002B4185"/>
    <w:rsid w:val="002B453A"/>
    <w:rsid w:val="002B630F"/>
    <w:rsid w:val="002B6A7B"/>
    <w:rsid w:val="002B7B40"/>
    <w:rsid w:val="002C1068"/>
    <w:rsid w:val="002C25DD"/>
    <w:rsid w:val="002C26A2"/>
    <w:rsid w:val="002C34FE"/>
    <w:rsid w:val="002C39AA"/>
    <w:rsid w:val="002C6AC3"/>
    <w:rsid w:val="002C70B9"/>
    <w:rsid w:val="002C7E04"/>
    <w:rsid w:val="002D0CDC"/>
    <w:rsid w:val="002D26AE"/>
    <w:rsid w:val="002D2882"/>
    <w:rsid w:val="002D4B4D"/>
    <w:rsid w:val="002E1286"/>
    <w:rsid w:val="002E5A00"/>
    <w:rsid w:val="002E62BD"/>
    <w:rsid w:val="002E63A4"/>
    <w:rsid w:val="002F01E5"/>
    <w:rsid w:val="002F0370"/>
    <w:rsid w:val="002F05A4"/>
    <w:rsid w:val="002F236F"/>
    <w:rsid w:val="002F43F7"/>
    <w:rsid w:val="002F765E"/>
    <w:rsid w:val="002F7B37"/>
    <w:rsid w:val="00300F1E"/>
    <w:rsid w:val="003011DF"/>
    <w:rsid w:val="0030165F"/>
    <w:rsid w:val="00301D40"/>
    <w:rsid w:val="00304F7E"/>
    <w:rsid w:val="00305FCB"/>
    <w:rsid w:val="0030656F"/>
    <w:rsid w:val="003073BA"/>
    <w:rsid w:val="00310C01"/>
    <w:rsid w:val="003112C0"/>
    <w:rsid w:val="00311C3A"/>
    <w:rsid w:val="00314AE3"/>
    <w:rsid w:val="003173CB"/>
    <w:rsid w:val="00317F00"/>
    <w:rsid w:val="00324219"/>
    <w:rsid w:val="0032547C"/>
    <w:rsid w:val="00326ED8"/>
    <w:rsid w:val="00331895"/>
    <w:rsid w:val="00331C43"/>
    <w:rsid w:val="003324B8"/>
    <w:rsid w:val="00332A27"/>
    <w:rsid w:val="00334104"/>
    <w:rsid w:val="00335CD6"/>
    <w:rsid w:val="00336F5F"/>
    <w:rsid w:val="003421C5"/>
    <w:rsid w:val="00342F6A"/>
    <w:rsid w:val="00343672"/>
    <w:rsid w:val="00344DAB"/>
    <w:rsid w:val="003450DB"/>
    <w:rsid w:val="0034720E"/>
    <w:rsid w:val="00347F6D"/>
    <w:rsid w:val="00351A28"/>
    <w:rsid w:val="00352641"/>
    <w:rsid w:val="00352C25"/>
    <w:rsid w:val="00353D98"/>
    <w:rsid w:val="003555C5"/>
    <w:rsid w:val="00355BBF"/>
    <w:rsid w:val="0035600B"/>
    <w:rsid w:val="00357905"/>
    <w:rsid w:val="00361907"/>
    <w:rsid w:val="00364913"/>
    <w:rsid w:val="003649D1"/>
    <w:rsid w:val="003666A5"/>
    <w:rsid w:val="00366957"/>
    <w:rsid w:val="00366EC4"/>
    <w:rsid w:val="00367757"/>
    <w:rsid w:val="00367E62"/>
    <w:rsid w:val="00371590"/>
    <w:rsid w:val="0037226D"/>
    <w:rsid w:val="003739FB"/>
    <w:rsid w:val="00373D41"/>
    <w:rsid w:val="00375A11"/>
    <w:rsid w:val="0037730A"/>
    <w:rsid w:val="003777E8"/>
    <w:rsid w:val="00381598"/>
    <w:rsid w:val="003858F3"/>
    <w:rsid w:val="00386933"/>
    <w:rsid w:val="00386B3C"/>
    <w:rsid w:val="00391B8A"/>
    <w:rsid w:val="003924DA"/>
    <w:rsid w:val="003928A5"/>
    <w:rsid w:val="00393F7B"/>
    <w:rsid w:val="00394257"/>
    <w:rsid w:val="003942B1"/>
    <w:rsid w:val="003943DE"/>
    <w:rsid w:val="00395FBE"/>
    <w:rsid w:val="00397269"/>
    <w:rsid w:val="003A09CD"/>
    <w:rsid w:val="003A191F"/>
    <w:rsid w:val="003A2DBF"/>
    <w:rsid w:val="003A2FC2"/>
    <w:rsid w:val="003A4654"/>
    <w:rsid w:val="003A4B56"/>
    <w:rsid w:val="003A4EA4"/>
    <w:rsid w:val="003A4F8C"/>
    <w:rsid w:val="003A550E"/>
    <w:rsid w:val="003A5702"/>
    <w:rsid w:val="003A57FB"/>
    <w:rsid w:val="003A633B"/>
    <w:rsid w:val="003A7406"/>
    <w:rsid w:val="003A77D7"/>
    <w:rsid w:val="003B3B5C"/>
    <w:rsid w:val="003B560D"/>
    <w:rsid w:val="003B573D"/>
    <w:rsid w:val="003B66E3"/>
    <w:rsid w:val="003B7513"/>
    <w:rsid w:val="003B7C41"/>
    <w:rsid w:val="003C0042"/>
    <w:rsid w:val="003C019D"/>
    <w:rsid w:val="003C2BB8"/>
    <w:rsid w:val="003C2FB8"/>
    <w:rsid w:val="003C7946"/>
    <w:rsid w:val="003D0AB8"/>
    <w:rsid w:val="003D0C6C"/>
    <w:rsid w:val="003D12AA"/>
    <w:rsid w:val="003D18B3"/>
    <w:rsid w:val="003D19E0"/>
    <w:rsid w:val="003D1E28"/>
    <w:rsid w:val="003D1E74"/>
    <w:rsid w:val="003D4908"/>
    <w:rsid w:val="003D4FEA"/>
    <w:rsid w:val="003D548A"/>
    <w:rsid w:val="003E1F9F"/>
    <w:rsid w:val="003E2350"/>
    <w:rsid w:val="003E3C08"/>
    <w:rsid w:val="003E4A38"/>
    <w:rsid w:val="003F010D"/>
    <w:rsid w:val="003F02BB"/>
    <w:rsid w:val="003F044B"/>
    <w:rsid w:val="003F067A"/>
    <w:rsid w:val="003F095D"/>
    <w:rsid w:val="003F1658"/>
    <w:rsid w:val="003F17C9"/>
    <w:rsid w:val="003F2AE5"/>
    <w:rsid w:val="003F397F"/>
    <w:rsid w:val="003F3AD5"/>
    <w:rsid w:val="003F58A0"/>
    <w:rsid w:val="003F638E"/>
    <w:rsid w:val="003F6B35"/>
    <w:rsid w:val="003F750B"/>
    <w:rsid w:val="00400127"/>
    <w:rsid w:val="004011FE"/>
    <w:rsid w:val="00401A19"/>
    <w:rsid w:val="004041A3"/>
    <w:rsid w:val="004045AF"/>
    <w:rsid w:val="0040692E"/>
    <w:rsid w:val="00406C23"/>
    <w:rsid w:val="004071CF"/>
    <w:rsid w:val="00407814"/>
    <w:rsid w:val="00407DB2"/>
    <w:rsid w:val="00411359"/>
    <w:rsid w:val="004113F8"/>
    <w:rsid w:val="004114F5"/>
    <w:rsid w:val="00411E4B"/>
    <w:rsid w:val="004124A5"/>
    <w:rsid w:val="00413185"/>
    <w:rsid w:val="00413866"/>
    <w:rsid w:val="0041516C"/>
    <w:rsid w:val="004151C0"/>
    <w:rsid w:val="0041541D"/>
    <w:rsid w:val="00416CCB"/>
    <w:rsid w:val="00416EC8"/>
    <w:rsid w:val="00417C00"/>
    <w:rsid w:val="00422103"/>
    <w:rsid w:val="00422408"/>
    <w:rsid w:val="00422921"/>
    <w:rsid w:val="00422AF9"/>
    <w:rsid w:val="004241F0"/>
    <w:rsid w:val="0042446A"/>
    <w:rsid w:val="004303A6"/>
    <w:rsid w:val="00430562"/>
    <w:rsid w:val="00430BB0"/>
    <w:rsid w:val="00430E9D"/>
    <w:rsid w:val="00432510"/>
    <w:rsid w:val="0043283B"/>
    <w:rsid w:val="00433F58"/>
    <w:rsid w:val="004359D2"/>
    <w:rsid w:val="00436804"/>
    <w:rsid w:val="00440E3C"/>
    <w:rsid w:val="004411FB"/>
    <w:rsid w:val="0044124B"/>
    <w:rsid w:val="0044251C"/>
    <w:rsid w:val="004437D5"/>
    <w:rsid w:val="004441A8"/>
    <w:rsid w:val="004459C9"/>
    <w:rsid w:val="00445CB4"/>
    <w:rsid w:val="00446DC6"/>
    <w:rsid w:val="0045011F"/>
    <w:rsid w:val="00450B24"/>
    <w:rsid w:val="00450CB2"/>
    <w:rsid w:val="00451FC4"/>
    <w:rsid w:val="0045217A"/>
    <w:rsid w:val="0045629D"/>
    <w:rsid w:val="00457340"/>
    <w:rsid w:val="00457BF1"/>
    <w:rsid w:val="00460466"/>
    <w:rsid w:val="0046094D"/>
    <w:rsid w:val="00464F81"/>
    <w:rsid w:val="00465311"/>
    <w:rsid w:val="00465C7D"/>
    <w:rsid w:val="00466277"/>
    <w:rsid w:val="00466660"/>
    <w:rsid w:val="004669E6"/>
    <w:rsid w:val="00467657"/>
    <w:rsid w:val="00470079"/>
    <w:rsid w:val="00472019"/>
    <w:rsid w:val="004728DB"/>
    <w:rsid w:val="00474F1C"/>
    <w:rsid w:val="00476F86"/>
    <w:rsid w:val="00480B62"/>
    <w:rsid w:val="00483DD1"/>
    <w:rsid w:val="00484E19"/>
    <w:rsid w:val="00484E73"/>
    <w:rsid w:val="00485E77"/>
    <w:rsid w:val="0048703E"/>
    <w:rsid w:val="00490141"/>
    <w:rsid w:val="0049021C"/>
    <w:rsid w:val="0049210D"/>
    <w:rsid w:val="004927A4"/>
    <w:rsid w:val="0049313F"/>
    <w:rsid w:val="00493A43"/>
    <w:rsid w:val="00494E9A"/>
    <w:rsid w:val="00496CC5"/>
    <w:rsid w:val="00497524"/>
    <w:rsid w:val="004A0250"/>
    <w:rsid w:val="004A0DD6"/>
    <w:rsid w:val="004A0FFF"/>
    <w:rsid w:val="004A142A"/>
    <w:rsid w:val="004A1CA0"/>
    <w:rsid w:val="004A2EFE"/>
    <w:rsid w:val="004A31F2"/>
    <w:rsid w:val="004A375E"/>
    <w:rsid w:val="004A3DBD"/>
    <w:rsid w:val="004A4457"/>
    <w:rsid w:val="004A6817"/>
    <w:rsid w:val="004A6945"/>
    <w:rsid w:val="004B1930"/>
    <w:rsid w:val="004B1ECA"/>
    <w:rsid w:val="004B22C7"/>
    <w:rsid w:val="004B282C"/>
    <w:rsid w:val="004B2850"/>
    <w:rsid w:val="004B31F9"/>
    <w:rsid w:val="004B3C31"/>
    <w:rsid w:val="004B52E4"/>
    <w:rsid w:val="004B61A7"/>
    <w:rsid w:val="004C07CD"/>
    <w:rsid w:val="004C14AE"/>
    <w:rsid w:val="004C2643"/>
    <w:rsid w:val="004C2979"/>
    <w:rsid w:val="004C3891"/>
    <w:rsid w:val="004C3FF2"/>
    <w:rsid w:val="004C51A9"/>
    <w:rsid w:val="004C64B6"/>
    <w:rsid w:val="004D0F51"/>
    <w:rsid w:val="004D151D"/>
    <w:rsid w:val="004D1B8F"/>
    <w:rsid w:val="004D2066"/>
    <w:rsid w:val="004D372E"/>
    <w:rsid w:val="004D4133"/>
    <w:rsid w:val="004D4DAE"/>
    <w:rsid w:val="004D51E4"/>
    <w:rsid w:val="004D5857"/>
    <w:rsid w:val="004D5A24"/>
    <w:rsid w:val="004D62B9"/>
    <w:rsid w:val="004D647D"/>
    <w:rsid w:val="004D6F32"/>
    <w:rsid w:val="004D6F5B"/>
    <w:rsid w:val="004D7921"/>
    <w:rsid w:val="004D7B7E"/>
    <w:rsid w:val="004E0AFA"/>
    <w:rsid w:val="004E153C"/>
    <w:rsid w:val="004E3529"/>
    <w:rsid w:val="004E37E3"/>
    <w:rsid w:val="004E396B"/>
    <w:rsid w:val="004E56C0"/>
    <w:rsid w:val="004E5893"/>
    <w:rsid w:val="004E5A79"/>
    <w:rsid w:val="004F0460"/>
    <w:rsid w:val="004F1600"/>
    <w:rsid w:val="004F1D3E"/>
    <w:rsid w:val="004F2CA9"/>
    <w:rsid w:val="004F37F7"/>
    <w:rsid w:val="004F412D"/>
    <w:rsid w:val="004F4477"/>
    <w:rsid w:val="004F4E29"/>
    <w:rsid w:val="004F52D6"/>
    <w:rsid w:val="004F5312"/>
    <w:rsid w:val="004F6CB8"/>
    <w:rsid w:val="004F6F23"/>
    <w:rsid w:val="004F7AF8"/>
    <w:rsid w:val="00504DB8"/>
    <w:rsid w:val="00504E25"/>
    <w:rsid w:val="005058C8"/>
    <w:rsid w:val="00510986"/>
    <w:rsid w:val="00510B72"/>
    <w:rsid w:val="00513AE4"/>
    <w:rsid w:val="00513F69"/>
    <w:rsid w:val="0051463F"/>
    <w:rsid w:val="00514A8B"/>
    <w:rsid w:val="00514C81"/>
    <w:rsid w:val="00514E64"/>
    <w:rsid w:val="00516167"/>
    <w:rsid w:val="00516577"/>
    <w:rsid w:val="00517221"/>
    <w:rsid w:val="00517615"/>
    <w:rsid w:val="00520F77"/>
    <w:rsid w:val="00521265"/>
    <w:rsid w:val="00522581"/>
    <w:rsid w:val="005225C3"/>
    <w:rsid w:val="0052458C"/>
    <w:rsid w:val="00525F12"/>
    <w:rsid w:val="00526E9B"/>
    <w:rsid w:val="00531D09"/>
    <w:rsid w:val="00531D2F"/>
    <w:rsid w:val="00532645"/>
    <w:rsid w:val="00533FC6"/>
    <w:rsid w:val="005343B0"/>
    <w:rsid w:val="005354CC"/>
    <w:rsid w:val="00537EA2"/>
    <w:rsid w:val="00540595"/>
    <w:rsid w:val="005422BC"/>
    <w:rsid w:val="0054301B"/>
    <w:rsid w:val="0054432B"/>
    <w:rsid w:val="00546DC7"/>
    <w:rsid w:val="005506FE"/>
    <w:rsid w:val="0055093E"/>
    <w:rsid w:val="005516B9"/>
    <w:rsid w:val="005524EA"/>
    <w:rsid w:val="00554A2F"/>
    <w:rsid w:val="0055615D"/>
    <w:rsid w:val="0055775E"/>
    <w:rsid w:val="00560928"/>
    <w:rsid w:val="00561438"/>
    <w:rsid w:val="00561701"/>
    <w:rsid w:val="005626C2"/>
    <w:rsid w:val="00562D3B"/>
    <w:rsid w:val="00564D0B"/>
    <w:rsid w:val="00565546"/>
    <w:rsid w:val="00565E26"/>
    <w:rsid w:val="0056754D"/>
    <w:rsid w:val="00567C20"/>
    <w:rsid w:val="00571571"/>
    <w:rsid w:val="005717DF"/>
    <w:rsid w:val="0057181D"/>
    <w:rsid w:val="00571E76"/>
    <w:rsid w:val="00573C52"/>
    <w:rsid w:val="005775D5"/>
    <w:rsid w:val="0057783E"/>
    <w:rsid w:val="00580B21"/>
    <w:rsid w:val="00581D36"/>
    <w:rsid w:val="00581FB9"/>
    <w:rsid w:val="00583210"/>
    <w:rsid w:val="00583303"/>
    <w:rsid w:val="00584B7A"/>
    <w:rsid w:val="00585530"/>
    <w:rsid w:val="00586543"/>
    <w:rsid w:val="005878A0"/>
    <w:rsid w:val="00592463"/>
    <w:rsid w:val="00593C68"/>
    <w:rsid w:val="00594347"/>
    <w:rsid w:val="00595561"/>
    <w:rsid w:val="005967DF"/>
    <w:rsid w:val="005A0147"/>
    <w:rsid w:val="005A2F91"/>
    <w:rsid w:val="005A40AA"/>
    <w:rsid w:val="005A5A5B"/>
    <w:rsid w:val="005A60F0"/>
    <w:rsid w:val="005A6296"/>
    <w:rsid w:val="005B1BB8"/>
    <w:rsid w:val="005B1D29"/>
    <w:rsid w:val="005B255D"/>
    <w:rsid w:val="005B2BED"/>
    <w:rsid w:val="005B6D44"/>
    <w:rsid w:val="005C082C"/>
    <w:rsid w:val="005C1086"/>
    <w:rsid w:val="005C1A3B"/>
    <w:rsid w:val="005C26F3"/>
    <w:rsid w:val="005C401D"/>
    <w:rsid w:val="005C41C1"/>
    <w:rsid w:val="005C46B1"/>
    <w:rsid w:val="005C5123"/>
    <w:rsid w:val="005D04AC"/>
    <w:rsid w:val="005D15A7"/>
    <w:rsid w:val="005D19F8"/>
    <w:rsid w:val="005D1DA7"/>
    <w:rsid w:val="005D22D1"/>
    <w:rsid w:val="005D309E"/>
    <w:rsid w:val="005D4DFF"/>
    <w:rsid w:val="005E0E9C"/>
    <w:rsid w:val="005E1A0E"/>
    <w:rsid w:val="005E2881"/>
    <w:rsid w:val="005E3DA6"/>
    <w:rsid w:val="005E408F"/>
    <w:rsid w:val="005E5877"/>
    <w:rsid w:val="005E68C3"/>
    <w:rsid w:val="005E79BD"/>
    <w:rsid w:val="005E7BD5"/>
    <w:rsid w:val="005E7C2D"/>
    <w:rsid w:val="005F001C"/>
    <w:rsid w:val="005F026D"/>
    <w:rsid w:val="005F077D"/>
    <w:rsid w:val="005F2494"/>
    <w:rsid w:val="005F2D4E"/>
    <w:rsid w:val="005F3090"/>
    <w:rsid w:val="005F4772"/>
    <w:rsid w:val="005F6929"/>
    <w:rsid w:val="005F6A8B"/>
    <w:rsid w:val="005F6CF4"/>
    <w:rsid w:val="00600480"/>
    <w:rsid w:val="006007AD"/>
    <w:rsid w:val="00600CBC"/>
    <w:rsid w:val="006013CB"/>
    <w:rsid w:val="00602347"/>
    <w:rsid w:val="00604998"/>
    <w:rsid w:val="0060751F"/>
    <w:rsid w:val="00607A52"/>
    <w:rsid w:val="00612B84"/>
    <w:rsid w:val="00612D6B"/>
    <w:rsid w:val="00616360"/>
    <w:rsid w:val="00617D91"/>
    <w:rsid w:val="006205C9"/>
    <w:rsid w:val="00621D1B"/>
    <w:rsid w:val="006230C4"/>
    <w:rsid w:val="0063132E"/>
    <w:rsid w:val="00631D38"/>
    <w:rsid w:val="00632270"/>
    <w:rsid w:val="00632B4A"/>
    <w:rsid w:val="00634FCB"/>
    <w:rsid w:val="0063553E"/>
    <w:rsid w:val="006363BB"/>
    <w:rsid w:val="006365DC"/>
    <w:rsid w:val="0063671F"/>
    <w:rsid w:val="00640389"/>
    <w:rsid w:val="00640F86"/>
    <w:rsid w:val="00641A8F"/>
    <w:rsid w:val="006431BB"/>
    <w:rsid w:val="0064324E"/>
    <w:rsid w:val="006441E4"/>
    <w:rsid w:val="00644B2A"/>
    <w:rsid w:val="00645174"/>
    <w:rsid w:val="006452B2"/>
    <w:rsid w:val="006455B9"/>
    <w:rsid w:val="0064720B"/>
    <w:rsid w:val="0064779F"/>
    <w:rsid w:val="00647BE9"/>
    <w:rsid w:val="00650431"/>
    <w:rsid w:val="0065304A"/>
    <w:rsid w:val="00653154"/>
    <w:rsid w:val="006534CB"/>
    <w:rsid w:val="0065366D"/>
    <w:rsid w:val="00653906"/>
    <w:rsid w:val="006541E1"/>
    <w:rsid w:val="0065481B"/>
    <w:rsid w:val="006573CB"/>
    <w:rsid w:val="00660B59"/>
    <w:rsid w:val="00662183"/>
    <w:rsid w:val="0066394D"/>
    <w:rsid w:val="00665CFA"/>
    <w:rsid w:val="006672C9"/>
    <w:rsid w:val="0067286A"/>
    <w:rsid w:val="0067361E"/>
    <w:rsid w:val="00674157"/>
    <w:rsid w:val="0067458A"/>
    <w:rsid w:val="0067595A"/>
    <w:rsid w:val="006766A5"/>
    <w:rsid w:val="00680ECA"/>
    <w:rsid w:val="00681425"/>
    <w:rsid w:val="006820F1"/>
    <w:rsid w:val="00682A21"/>
    <w:rsid w:val="00686E0F"/>
    <w:rsid w:val="00687004"/>
    <w:rsid w:val="006871AF"/>
    <w:rsid w:val="006873C1"/>
    <w:rsid w:val="0068798C"/>
    <w:rsid w:val="00687FB8"/>
    <w:rsid w:val="00690D16"/>
    <w:rsid w:val="00690F62"/>
    <w:rsid w:val="00691AF7"/>
    <w:rsid w:val="00691D53"/>
    <w:rsid w:val="00691DA6"/>
    <w:rsid w:val="00691F20"/>
    <w:rsid w:val="006926A2"/>
    <w:rsid w:val="00692D93"/>
    <w:rsid w:val="00693EC0"/>
    <w:rsid w:val="006942B2"/>
    <w:rsid w:val="006943ED"/>
    <w:rsid w:val="006945B7"/>
    <w:rsid w:val="0069629F"/>
    <w:rsid w:val="00697430"/>
    <w:rsid w:val="00697FCD"/>
    <w:rsid w:val="00697FE3"/>
    <w:rsid w:val="006A133D"/>
    <w:rsid w:val="006A290C"/>
    <w:rsid w:val="006A439B"/>
    <w:rsid w:val="006A5F46"/>
    <w:rsid w:val="006A6D70"/>
    <w:rsid w:val="006A715E"/>
    <w:rsid w:val="006A76EE"/>
    <w:rsid w:val="006B085F"/>
    <w:rsid w:val="006B2B93"/>
    <w:rsid w:val="006B2E67"/>
    <w:rsid w:val="006B4E74"/>
    <w:rsid w:val="006B4EB6"/>
    <w:rsid w:val="006B5C63"/>
    <w:rsid w:val="006B7DFA"/>
    <w:rsid w:val="006C0152"/>
    <w:rsid w:val="006C10A2"/>
    <w:rsid w:val="006C193B"/>
    <w:rsid w:val="006C2A9D"/>
    <w:rsid w:val="006C2B45"/>
    <w:rsid w:val="006C3BB5"/>
    <w:rsid w:val="006C52B0"/>
    <w:rsid w:val="006C65DA"/>
    <w:rsid w:val="006C6CF9"/>
    <w:rsid w:val="006D318F"/>
    <w:rsid w:val="006D422D"/>
    <w:rsid w:val="006D45FB"/>
    <w:rsid w:val="006D5238"/>
    <w:rsid w:val="006D54F6"/>
    <w:rsid w:val="006D6F9C"/>
    <w:rsid w:val="006D77F0"/>
    <w:rsid w:val="006D7905"/>
    <w:rsid w:val="006D7B4E"/>
    <w:rsid w:val="006E61EA"/>
    <w:rsid w:val="006E7868"/>
    <w:rsid w:val="006E7F6A"/>
    <w:rsid w:val="006F3835"/>
    <w:rsid w:val="006F40CB"/>
    <w:rsid w:val="006F49DA"/>
    <w:rsid w:val="006F58EE"/>
    <w:rsid w:val="006F5917"/>
    <w:rsid w:val="00700E8F"/>
    <w:rsid w:val="00701C62"/>
    <w:rsid w:val="0070331F"/>
    <w:rsid w:val="0070446B"/>
    <w:rsid w:val="00705F71"/>
    <w:rsid w:val="00711897"/>
    <w:rsid w:val="00711EB9"/>
    <w:rsid w:val="00712218"/>
    <w:rsid w:val="007122E2"/>
    <w:rsid w:val="007123D3"/>
    <w:rsid w:val="00714CB7"/>
    <w:rsid w:val="00714D21"/>
    <w:rsid w:val="0071548E"/>
    <w:rsid w:val="00715F2E"/>
    <w:rsid w:val="007161F9"/>
    <w:rsid w:val="0071671B"/>
    <w:rsid w:val="00716DB7"/>
    <w:rsid w:val="00721A42"/>
    <w:rsid w:val="00722CED"/>
    <w:rsid w:val="0072321F"/>
    <w:rsid w:val="00724073"/>
    <w:rsid w:val="00724251"/>
    <w:rsid w:val="00725C96"/>
    <w:rsid w:val="00726FC7"/>
    <w:rsid w:val="007271E6"/>
    <w:rsid w:val="007335DA"/>
    <w:rsid w:val="00734D21"/>
    <w:rsid w:val="00735490"/>
    <w:rsid w:val="00735EFF"/>
    <w:rsid w:val="00736ABC"/>
    <w:rsid w:val="0073715B"/>
    <w:rsid w:val="007379E5"/>
    <w:rsid w:val="007411DE"/>
    <w:rsid w:val="0074120F"/>
    <w:rsid w:val="007437D8"/>
    <w:rsid w:val="00743EDF"/>
    <w:rsid w:val="007442B9"/>
    <w:rsid w:val="00745E28"/>
    <w:rsid w:val="007471F6"/>
    <w:rsid w:val="00747525"/>
    <w:rsid w:val="00751100"/>
    <w:rsid w:val="0075155E"/>
    <w:rsid w:val="00753072"/>
    <w:rsid w:val="00755D8B"/>
    <w:rsid w:val="00760946"/>
    <w:rsid w:val="007624D1"/>
    <w:rsid w:val="00766595"/>
    <w:rsid w:val="00767FDF"/>
    <w:rsid w:val="00770139"/>
    <w:rsid w:val="00771671"/>
    <w:rsid w:val="00772711"/>
    <w:rsid w:val="007739AB"/>
    <w:rsid w:val="007740C7"/>
    <w:rsid w:val="00774380"/>
    <w:rsid w:val="00775717"/>
    <w:rsid w:val="00781167"/>
    <w:rsid w:val="0078279E"/>
    <w:rsid w:val="007845E8"/>
    <w:rsid w:val="00784894"/>
    <w:rsid w:val="00784B66"/>
    <w:rsid w:val="007853D9"/>
    <w:rsid w:val="00785ADD"/>
    <w:rsid w:val="00787A21"/>
    <w:rsid w:val="00795AC0"/>
    <w:rsid w:val="007A047D"/>
    <w:rsid w:val="007A39DE"/>
    <w:rsid w:val="007A4A4F"/>
    <w:rsid w:val="007A4AEB"/>
    <w:rsid w:val="007A61BB"/>
    <w:rsid w:val="007A6F33"/>
    <w:rsid w:val="007B00A9"/>
    <w:rsid w:val="007B031E"/>
    <w:rsid w:val="007B1864"/>
    <w:rsid w:val="007B405A"/>
    <w:rsid w:val="007B496B"/>
    <w:rsid w:val="007C424A"/>
    <w:rsid w:val="007C7171"/>
    <w:rsid w:val="007C7C5D"/>
    <w:rsid w:val="007D2F96"/>
    <w:rsid w:val="007D46F1"/>
    <w:rsid w:val="007D4D28"/>
    <w:rsid w:val="007D5000"/>
    <w:rsid w:val="007D5D59"/>
    <w:rsid w:val="007D73E5"/>
    <w:rsid w:val="007E1435"/>
    <w:rsid w:val="007E3DDC"/>
    <w:rsid w:val="007E509B"/>
    <w:rsid w:val="007E690D"/>
    <w:rsid w:val="007E6AB4"/>
    <w:rsid w:val="007E7D7B"/>
    <w:rsid w:val="007F084E"/>
    <w:rsid w:val="007F0C90"/>
    <w:rsid w:val="007F0F73"/>
    <w:rsid w:val="007F3C9F"/>
    <w:rsid w:val="007F3D0C"/>
    <w:rsid w:val="007F5646"/>
    <w:rsid w:val="007F63FC"/>
    <w:rsid w:val="007F696E"/>
    <w:rsid w:val="007F70D6"/>
    <w:rsid w:val="00801323"/>
    <w:rsid w:val="0080182F"/>
    <w:rsid w:val="00802D1F"/>
    <w:rsid w:val="008049D3"/>
    <w:rsid w:val="00804E00"/>
    <w:rsid w:val="00805EB1"/>
    <w:rsid w:val="00807A6B"/>
    <w:rsid w:val="00807E98"/>
    <w:rsid w:val="008104BC"/>
    <w:rsid w:val="00811A33"/>
    <w:rsid w:val="0081221E"/>
    <w:rsid w:val="008129FE"/>
    <w:rsid w:val="00814FC4"/>
    <w:rsid w:val="008168F0"/>
    <w:rsid w:val="00816B1F"/>
    <w:rsid w:val="00816D84"/>
    <w:rsid w:val="00817F54"/>
    <w:rsid w:val="00820F5E"/>
    <w:rsid w:val="0082110D"/>
    <w:rsid w:val="00821BD2"/>
    <w:rsid w:val="00822C28"/>
    <w:rsid w:val="008237D1"/>
    <w:rsid w:val="00823822"/>
    <w:rsid w:val="0082679E"/>
    <w:rsid w:val="00827553"/>
    <w:rsid w:val="008276A1"/>
    <w:rsid w:val="00830545"/>
    <w:rsid w:val="008309D6"/>
    <w:rsid w:val="00831CEB"/>
    <w:rsid w:val="00832662"/>
    <w:rsid w:val="00832BF8"/>
    <w:rsid w:val="00832C08"/>
    <w:rsid w:val="008337F1"/>
    <w:rsid w:val="00834624"/>
    <w:rsid w:val="00835951"/>
    <w:rsid w:val="00835C63"/>
    <w:rsid w:val="008368B6"/>
    <w:rsid w:val="00837ED0"/>
    <w:rsid w:val="008412BB"/>
    <w:rsid w:val="0084272C"/>
    <w:rsid w:val="00842B59"/>
    <w:rsid w:val="0084388A"/>
    <w:rsid w:val="008441EF"/>
    <w:rsid w:val="00845D8F"/>
    <w:rsid w:val="00846765"/>
    <w:rsid w:val="0085035E"/>
    <w:rsid w:val="00850663"/>
    <w:rsid w:val="00850ACA"/>
    <w:rsid w:val="00851533"/>
    <w:rsid w:val="00851653"/>
    <w:rsid w:val="00852DCD"/>
    <w:rsid w:val="008531DD"/>
    <w:rsid w:val="00853E43"/>
    <w:rsid w:val="00853EFB"/>
    <w:rsid w:val="00854F91"/>
    <w:rsid w:val="008555D2"/>
    <w:rsid w:val="0085619F"/>
    <w:rsid w:val="00857062"/>
    <w:rsid w:val="00860936"/>
    <w:rsid w:val="008612B1"/>
    <w:rsid w:val="00861750"/>
    <w:rsid w:val="008625AC"/>
    <w:rsid w:val="00863C6B"/>
    <w:rsid w:val="008642B0"/>
    <w:rsid w:val="00865F19"/>
    <w:rsid w:val="00872172"/>
    <w:rsid w:val="008725FF"/>
    <w:rsid w:val="0087431D"/>
    <w:rsid w:val="0087634A"/>
    <w:rsid w:val="0087740D"/>
    <w:rsid w:val="008825B7"/>
    <w:rsid w:val="00882A11"/>
    <w:rsid w:val="008834C2"/>
    <w:rsid w:val="008842CF"/>
    <w:rsid w:val="008866A1"/>
    <w:rsid w:val="008874AF"/>
    <w:rsid w:val="00891145"/>
    <w:rsid w:val="00891211"/>
    <w:rsid w:val="00893E79"/>
    <w:rsid w:val="0089495F"/>
    <w:rsid w:val="008951C9"/>
    <w:rsid w:val="008962A1"/>
    <w:rsid w:val="008A167E"/>
    <w:rsid w:val="008A18EA"/>
    <w:rsid w:val="008A4DF3"/>
    <w:rsid w:val="008A6CA1"/>
    <w:rsid w:val="008A720A"/>
    <w:rsid w:val="008A77EE"/>
    <w:rsid w:val="008B4B02"/>
    <w:rsid w:val="008B62FB"/>
    <w:rsid w:val="008B64D9"/>
    <w:rsid w:val="008B7474"/>
    <w:rsid w:val="008B77C1"/>
    <w:rsid w:val="008C0783"/>
    <w:rsid w:val="008C1453"/>
    <w:rsid w:val="008C2B02"/>
    <w:rsid w:val="008C3079"/>
    <w:rsid w:val="008C522D"/>
    <w:rsid w:val="008C6C18"/>
    <w:rsid w:val="008C6C66"/>
    <w:rsid w:val="008C7C63"/>
    <w:rsid w:val="008D0B31"/>
    <w:rsid w:val="008D22F1"/>
    <w:rsid w:val="008D232F"/>
    <w:rsid w:val="008D2578"/>
    <w:rsid w:val="008D2DF6"/>
    <w:rsid w:val="008D3B33"/>
    <w:rsid w:val="008D3F06"/>
    <w:rsid w:val="008D4335"/>
    <w:rsid w:val="008D43F1"/>
    <w:rsid w:val="008D4C83"/>
    <w:rsid w:val="008D5181"/>
    <w:rsid w:val="008D64DD"/>
    <w:rsid w:val="008E0125"/>
    <w:rsid w:val="008E1745"/>
    <w:rsid w:val="008E22BD"/>
    <w:rsid w:val="008E3A17"/>
    <w:rsid w:val="008E71B0"/>
    <w:rsid w:val="008E7B88"/>
    <w:rsid w:val="008F0AD1"/>
    <w:rsid w:val="008F0B53"/>
    <w:rsid w:val="008F2AEB"/>
    <w:rsid w:val="008F32F7"/>
    <w:rsid w:val="008F3AD0"/>
    <w:rsid w:val="008F3D5E"/>
    <w:rsid w:val="008F480A"/>
    <w:rsid w:val="008F49A6"/>
    <w:rsid w:val="008F4EB1"/>
    <w:rsid w:val="008F5B40"/>
    <w:rsid w:val="008F629E"/>
    <w:rsid w:val="008F6CC2"/>
    <w:rsid w:val="009013E3"/>
    <w:rsid w:val="00902C18"/>
    <w:rsid w:val="0090414D"/>
    <w:rsid w:val="009048FD"/>
    <w:rsid w:val="00906B9D"/>
    <w:rsid w:val="00906BE1"/>
    <w:rsid w:val="00913247"/>
    <w:rsid w:val="009170BA"/>
    <w:rsid w:val="0091714C"/>
    <w:rsid w:val="0092048B"/>
    <w:rsid w:val="00921348"/>
    <w:rsid w:val="00921DE6"/>
    <w:rsid w:val="0092278F"/>
    <w:rsid w:val="009249AA"/>
    <w:rsid w:val="00925C36"/>
    <w:rsid w:val="00926E01"/>
    <w:rsid w:val="0093060B"/>
    <w:rsid w:val="00930730"/>
    <w:rsid w:val="009315BB"/>
    <w:rsid w:val="00931CC6"/>
    <w:rsid w:val="00931EE6"/>
    <w:rsid w:val="00932F7C"/>
    <w:rsid w:val="0093520B"/>
    <w:rsid w:val="00936B2C"/>
    <w:rsid w:val="00937BF6"/>
    <w:rsid w:val="009403F5"/>
    <w:rsid w:val="00941502"/>
    <w:rsid w:val="00941A58"/>
    <w:rsid w:val="00942EA9"/>
    <w:rsid w:val="009438F0"/>
    <w:rsid w:val="00944C90"/>
    <w:rsid w:val="0094554A"/>
    <w:rsid w:val="00946A4C"/>
    <w:rsid w:val="0095032B"/>
    <w:rsid w:val="0095638D"/>
    <w:rsid w:val="00956662"/>
    <w:rsid w:val="009570B6"/>
    <w:rsid w:val="00957B7E"/>
    <w:rsid w:val="00957C42"/>
    <w:rsid w:val="009616B8"/>
    <w:rsid w:val="0096350A"/>
    <w:rsid w:val="0096461D"/>
    <w:rsid w:val="00964C07"/>
    <w:rsid w:val="009678F6"/>
    <w:rsid w:val="0096796E"/>
    <w:rsid w:val="00970863"/>
    <w:rsid w:val="00971224"/>
    <w:rsid w:val="0097146B"/>
    <w:rsid w:val="00971EBC"/>
    <w:rsid w:val="0097210D"/>
    <w:rsid w:val="00972192"/>
    <w:rsid w:val="00973559"/>
    <w:rsid w:val="00975AC1"/>
    <w:rsid w:val="00976135"/>
    <w:rsid w:val="00980743"/>
    <w:rsid w:val="0098198F"/>
    <w:rsid w:val="00984116"/>
    <w:rsid w:val="0098446B"/>
    <w:rsid w:val="0098488C"/>
    <w:rsid w:val="0098558E"/>
    <w:rsid w:val="0099041D"/>
    <w:rsid w:val="009905E3"/>
    <w:rsid w:val="0099164A"/>
    <w:rsid w:val="00991A21"/>
    <w:rsid w:val="00991E93"/>
    <w:rsid w:val="00992AA5"/>
    <w:rsid w:val="00992D84"/>
    <w:rsid w:val="0099319C"/>
    <w:rsid w:val="00993923"/>
    <w:rsid w:val="0099651C"/>
    <w:rsid w:val="00996738"/>
    <w:rsid w:val="009A0C99"/>
    <w:rsid w:val="009A56A6"/>
    <w:rsid w:val="009B129B"/>
    <w:rsid w:val="009B2FA8"/>
    <w:rsid w:val="009B35E1"/>
    <w:rsid w:val="009B43E5"/>
    <w:rsid w:val="009B4678"/>
    <w:rsid w:val="009B4B4E"/>
    <w:rsid w:val="009B636D"/>
    <w:rsid w:val="009C2ACA"/>
    <w:rsid w:val="009C2C68"/>
    <w:rsid w:val="009C3D37"/>
    <w:rsid w:val="009C45AC"/>
    <w:rsid w:val="009C6AA0"/>
    <w:rsid w:val="009C6DC9"/>
    <w:rsid w:val="009C7610"/>
    <w:rsid w:val="009C7B71"/>
    <w:rsid w:val="009D097B"/>
    <w:rsid w:val="009D0980"/>
    <w:rsid w:val="009D1242"/>
    <w:rsid w:val="009D13BA"/>
    <w:rsid w:val="009D1B1D"/>
    <w:rsid w:val="009D2501"/>
    <w:rsid w:val="009D44C0"/>
    <w:rsid w:val="009D5662"/>
    <w:rsid w:val="009D61C3"/>
    <w:rsid w:val="009E0050"/>
    <w:rsid w:val="009E057F"/>
    <w:rsid w:val="009E2E85"/>
    <w:rsid w:val="009E378B"/>
    <w:rsid w:val="009E4A4E"/>
    <w:rsid w:val="009E5987"/>
    <w:rsid w:val="009E6EA3"/>
    <w:rsid w:val="009E79B6"/>
    <w:rsid w:val="009F0BC0"/>
    <w:rsid w:val="009F166A"/>
    <w:rsid w:val="009F66E0"/>
    <w:rsid w:val="009F7355"/>
    <w:rsid w:val="00A00006"/>
    <w:rsid w:val="00A00C3D"/>
    <w:rsid w:val="00A01257"/>
    <w:rsid w:val="00A024F4"/>
    <w:rsid w:val="00A02604"/>
    <w:rsid w:val="00A028AB"/>
    <w:rsid w:val="00A033CD"/>
    <w:rsid w:val="00A0530D"/>
    <w:rsid w:val="00A0685C"/>
    <w:rsid w:val="00A107A0"/>
    <w:rsid w:val="00A11997"/>
    <w:rsid w:val="00A12812"/>
    <w:rsid w:val="00A1712A"/>
    <w:rsid w:val="00A224C1"/>
    <w:rsid w:val="00A22E24"/>
    <w:rsid w:val="00A22F06"/>
    <w:rsid w:val="00A244AB"/>
    <w:rsid w:val="00A244DA"/>
    <w:rsid w:val="00A24A8E"/>
    <w:rsid w:val="00A25CBF"/>
    <w:rsid w:val="00A26091"/>
    <w:rsid w:val="00A273D6"/>
    <w:rsid w:val="00A27E45"/>
    <w:rsid w:val="00A30D8C"/>
    <w:rsid w:val="00A31750"/>
    <w:rsid w:val="00A33B83"/>
    <w:rsid w:val="00A375B2"/>
    <w:rsid w:val="00A37ACA"/>
    <w:rsid w:val="00A428BB"/>
    <w:rsid w:val="00A434B3"/>
    <w:rsid w:val="00A44AB5"/>
    <w:rsid w:val="00A46A96"/>
    <w:rsid w:val="00A50DAA"/>
    <w:rsid w:val="00A54F43"/>
    <w:rsid w:val="00A55295"/>
    <w:rsid w:val="00A578E7"/>
    <w:rsid w:val="00A620B2"/>
    <w:rsid w:val="00A62731"/>
    <w:rsid w:val="00A62D62"/>
    <w:rsid w:val="00A62E54"/>
    <w:rsid w:val="00A63074"/>
    <w:rsid w:val="00A6393E"/>
    <w:rsid w:val="00A66495"/>
    <w:rsid w:val="00A66FAD"/>
    <w:rsid w:val="00A70AC6"/>
    <w:rsid w:val="00A71583"/>
    <w:rsid w:val="00A719E8"/>
    <w:rsid w:val="00A7262B"/>
    <w:rsid w:val="00A72F42"/>
    <w:rsid w:val="00A74072"/>
    <w:rsid w:val="00A755A9"/>
    <w:rsid w:val="00A811C1"/>
    <w:rsid w:val="00A8123D"/>
    <w:rsid w:val="00A8216F"/>
    <w:rsid w:val="00A84A67"/>
    <w:rsid w:val="00A84C76"/>
    <w:rsid w:val="00A85AE2"/>
    <w:rsid w:val="00A92600"/>
    <w:rsid w:val="00A93825"/>
    <w:rsid w:val="00A9627C"/>
    <w:rsid w:val="00A96EEF"/>
    <w:rsid w:val="00AA1E2F"/>
    <w:rsid w:val="00AA35B7"/>
    <w:rsid w:val="00AA6046"/>
    <w:rsid w:val="00AA75E7"/>
    <w:rsid w:val="00AA7D95"/>
    <w:rsid w:val="00AB00D3"/>
    <w:rsid w:val="00AB0223"/>
    <w:rsid w:val="00AB3780"/>
    <w:rsid w:val="00AC29C1"/>
    <w:rsid w:val="00AC3149"/>
    <w:rsid w:val="00AC60D6"/>
    <w:rsid w:val="00AD1B40"/>
    <w:rsid w:val="00AD2936"/>
    <w:rsid w:val="00AD4B34"/>
    <w:rsid w:val="00AD6F99"/>
    <w:rsid w:val="00AE041A"/>
    <w:rsid w:val="00AE0D83"/>
    <w:rsid w:val="00AE1FAA"/>
    <w:rsid w:val="00AE2A04"/>
    <w:rsid w:val="00AE42FB"/>
    <w:rsid w:val="00AE5C83"/>
    <w:rsid w:val="00AE5EF7"/>
    <w:rsid w:val="00AE69D2"/>
    <w:rsid w:val="00AE73D8"/>
    <w:rsid w:val="00AF05F7"/>
    <w:rsid w:val="00AF0F17"/>
    <w:rsid w:val="00AF11D2"/>
    <w:rsid w:val="00AF1923"/>
    <w:rsid w:val="00AF19F8"/>
    <w:rsid w:val="00AF25FB"/>
    <w:rsid w:val="00AF346B"/>
    <w:rsid w:val="00AF3487"/>
    <w:rsid w:val="00AF56F3"/>
    <w:rsid w:val="00AF7A48"/>
    <w:rsid w:val="00B02B27"/>
    <w:rsid w:val="00B033A0"/>
    <w:rsid w:val="00B04231"/>
    <w:rsid w:val="00B042DB"/>
    <w:rsid w:val="00B060DE"/>
    <w:rsid w:val="00B0694A"/>
    <w:rsid w:val="00B06A90"/>
    <w:rsid w:val="00B06C53"/>
    <w:rsid w:val="00B0786B"/>
    <w:rsid w:val="00B10E23"/>
    <w:rsid w:val="00B13004"/>
    <w:rsid w:val="00B14A60"/>
    <w:rsid w:val="00B14C7E"/>
    <w:rsid w:val="00B1698F"/>
    <w:rsid w:val="00B179F8"/>
    <w:rsid w:val="00B22295"/>
    <w:rsid w:val="00B23F05"/>
    <w:rsid w:val="00B240DA"/>
    <w:rsid w:val="00B25BBC"/>
    <w:rsid w:val="00B27571"/>
    <w:rsid w:val="00B31189"/>
    <w:rsid w:val="00B364F3"/>
    <w:rsid w:val="00B40428"/>
    <w:rsid w:val="00B413C6"/>
    <w:rsid w:val="00B42C40"/>
    <w:rsid w:val="00B44666"/>
    <w:rsid w:val="00B44AD5"/>
    <w:rsid w:val="00B45C0F"/>
    <w:rsid w:val="00B5128D"/>
    <w:rsid w:val="00B52559"/>
    <w:rsid w:val="00B531EC"/>
    <w:rsid w:val="00B53A17"/>
    <w:rsid w:val="00B53BD6"/>
    <w:rsid w:val="00B5464C"/>
    <w:rsid w:val="00B552A1"/>
    <w:rsid w:val="00B55A38"/>
    <w:rsid w:val="00B5718E"/>
    <w:rsid w:val="00B6246A"/>
    <w:rsid w:val="00B6323E"/>
    <w:rsid w:val="00B63575"/>
    <w:rsid w:val="00B63866"/>
    <w:rsid w:val="00B63935"/>
    <w:rsid w:val="00B63D83"/>
    <w:rsid w:val="00B6667C"/>
    <w:rsid w:val="00B67134"/>
    <w:rsid w:val="00B676F4"/>
    <w:rsid w:val="00B73FB5"/>
    <w:rsid w:val="00B7554D"/>
    <w:rsid w:val="00B765AB"/>
    <w:rsid w:val="00B776F5"/>
    <w:rsid w:val="00B777C7"/>
    <w:rsid w:val="00B809A8"/>
    <w:rsid w:val="00B812CC"/>
    <w:rsid w:val="00B81793"/>
    <w:rsid w:val="00B829C1"/>
    <w:rsid w:val="00B84B48"/>
    <w:rsid w:val="00B853B6"/>
    <w:rsid w:val="00B863A5"/>
    <w:rsid w:val="00B9197F"/>
    <w:rsid w:val="00B922DD"/>
    <w:rsid w:val="00B95272"/>
    <w:rsid w:val="00B954CC"/>
    <w:rsid w:val="00B97147"/>
    <w:rsid w:val="00B978FE"/>
    <w:rsid w:val="00BA20AA"/>
    <w:rsid w:val="00BA4CFF"/>
    <w:rsid w:val="00BA72C9"/>
    <w:rsid w:val="00BB0208"/>
    <w:rsid w:val="00BB214D"/>
    <w:rsid w:val="00BB333A"/>
    <w:rsid w:val="00BB3B2E"/>
    <w:rsid w:val="00BB6610"/>
    <w:rsid w:val="00BB713C"/>
    <w:rsid w:val="00BB7CE0"/>
    <w:rsid w:val="00BC0575"/>
    <w:rsid w:val="00BC3211"/>
    <w:rsid w:val="00BC3C4B"/>
    <w:rsid w:val="00BC57D6"/>
    <w:rsid w:val="00BC60B3"/>
    <w:rsid w:val="00BD04D5"/>
    <w:rsid w:val="00BD2F1A"/>
    <w:rsid w:val="00BD36A6"/>
    <w:rsid w:val="00BD3B0B"/>
    <w:rsid w:val="00BD5113"/>
    <w:rsid w:val="00BE0387"/>
    <w:rsid w:val="00BE16BA"/>
    <w:rsid w:val="00BE25F6"/>
    <w:rsid w:val="00BE2840"/>
    <w:rsid w:val="00BE2F44"/>
    <w:rsid w:val="00BE3137"/>
    <w:rsid w:val="00BE3863"/>
    <w:rsid w:val="00BE3A15"/>
    <w:rsid w:val="00BE5BF7"/>
    <w:rsid w:val="00BE6394"/>
    <w:rsid w:val="00BE69A1"/>
    <w:rsid w:val="00BF0C6F"/>
    <w:rsid w:val="00BF15A6"/>
    <w:rsid w:val="00BF39AA"/>
    <w:rsid w:val="00BF3C4B"/>
    <w:rsid w:val="00BF45A1"/>
    <w:rsid w:val="00BF6534"/>
    <w:rsid w:val="00BF6711"/>
    <w:rsid w:val="00BF7576"/>
    <w:rsid w:val="00C0081E"/>
    <w:rsid w:val="00C0151C"/>
    <w:rsid w:val="00C01D2C"/>
    <w:rsid w:val="00C04906"/>
    <w:rsid w:val="00C0649D"/>
    <w:rsid w:val="00C07205"/>
    <w:rsid w:val="00C112FC"/>
    <w:rsid w:val="00C12060"/>
    <w:rsid w:val="00C1430A"/>
    <w:rsid w:val="00C14A9F"/>
    <w:rsid w:val="00C15477"/>
    <w:rsid w:val="00C16F6E"/>
    <w:rsid w:val="00C17709"/>
    <w:rsid w:val="00C220C7"/>
    <w:rsid w:val="00C22A77"/>
    <w:rsid w:val="00C23CB6"/>
    <w:rsid w:val="00C23D66"/>
    <w:rsid w:val="00C2486C"/>
    <w:rsid w:val="00C259AC"/>
    <w:rsid w:val="00C25D3B"/>
    <w:rsid w:val="00C27A34"/>
    <w:rsid w:val="00C30320"/>
    <w:rsid w:val="00C30929"/>
    <w:rsid w:val="00C31419"/>
    <w:rsid w:val="00C32225"/>
    <w:rsid w:val="00C32447"/>
    <w:rsid w:val="00C32B89"/>
    <w:rsid w:val="00C336AB"/>
    <w:rsid w:val="00C379D0"/>
    <w:rsid w:val="00C41225"/>
    <w:rsid w:val="00C43567"/>
    <w:rsid w:val="00C43A29"/>
    <w:rsid w:val="00C4491A"/>
    <w:rsid w:val="00C46D28"/>
    <w:rsid w:val="00C50136"/>
    <w:rsid w:val="00C51183"/>
    <w:rsid w:val="00C54B3F"/>
    <w:rsid w:val="00C54E5B"/>
    <w:rsid w:val="00C60A02"/>
    <w:rsid w:val="00C6123C"/>
    <w:rsid w:val="00C618AF"/>
    <w:rsid w:val="00C61D22"/>
    <w:rsid w:val="00C62258"/>
    <w:rsid w:val="00C62607"/>
    <w:rsid w:val="00C67B47"/>
    <w:rsid w:val="00C70597"/>
    <w:rsid w:val="00C7246E"/>
    <w:rsid w:val="00C7274D"/>
    <w:rsid w:val="00C72B8C"/>
    <w:rsid w:val="00C73537"/>
    <w:rsid w:val="00C75D35"/>
    <w:rsid w:val="00C7709E"/>
    <w:rsid w:val="00C80EAE"/>
    <w:rsid w:val="00C825BD"/>
    <w:rsid w:val="00C852C7"/>
    <w:rsid w:val="00C8709B"/>
    <w:rsid w:val="00C87D38"/>
    <w:rsid w:val="00C91276"/>
    <w:rsid w:val="00C912B0"/>
    <w:rsid w:val="00C91957"/>
    <w:rsid w:val="00C92230"/>
    <w:rsid w:val="00C95162"/>
    <w:rsid w:val="00C952CB"/>
    <w:rsid w:val="00C95372"/>
    <w:rsid w:val="00C965F2"/>
    <w:rsid w:val="00C96696"/>
    <w:rsid w:val="00CA1411"/>
    <w:rsid w:val="00CA190E"/>
    <w:rsid w:val="00CA2585"/>
    <w:rsid w:val="00CA4D2E"/>
    <w:rsid w:val="00CA570D"/>
    <w:rsid w:val="00CA617C"/>
    <w:rsid w:val="00CA6FD9"/>
    <w:rsid w:val="00CA742F"/>
    <w:rsid w:val="00CA79B3"/>
    <w:rsid w:val="00CA7C83"/>
    <w:rsid w:val="00CA7E55"/>
    <w:rsid w:val="00CB0BBF"/>
    <w:rsid w:val="00CB1BE9"/>
    <w:rsid w:val="00CB2546"/>
    <w:rsid w:val="00CB2FE7"/>
    <w:rsid w:val="00CB38A5"/>
    <w:rsid w:val="00CB4448"/>
    <w:rsid w:val="00CB5A50"/>
    <w:rsid w:val="00CB7879"/>
    <w:rsid w:val="00CB7C8D"/>
    <w:rsid w:val="00CC0DB3"/>
    <w:rsid w:val="00CC19F3"/>
    <w:rsid w:val="00CC31F2"/>
    <w:rsid w:val="00CC5C7F"/>
    <w:rsid w:val="00CD5151"/>
    <w:rsid w:val="00CD51EF"/>
    <w:rsid w:val="00CD56C1"/>
    <w:rsid w:val="00CD6447"/>
    <w:rsid w:val="00CE0245"/>
    <w:rsid w:val="00CE1815"/>
    <w:rsid w:val="00CE1C61"/>
    <w:rsid w:val="00CE200F"/>
    <w:rsid w:val="00CE2106"/>
    <w:rsid w:val="00CE2B00"/>
    <w:rsid w:val="00CE33BF"/>
    <w:rsid w:val="00CE35F9"/>
    <w:rsid w:val="00CE45D3"/>
    <w:rsid w:val="00CE5511"/>
    <w:rsid w:val="00CF1CBA"/>
    <w:rsid w:val="00CF22D8"/>
    <w:rsid w:val="00CF2EC8"/>
    <w:rsid w:val="00CF517C"/>
    <w:rsid w:val="00CF64CD"/>
    <w:rsid w:val="00CF7223"/>
    <w:rsid w:val="00D00271"/>
    <w:rsid w:val="00D0062D"/>
    <w:rsid w:val="00D018E1"/>
    <w:rsid w:val="00D02ADE"/>
    <w:rsid w:val="00D047C7"/>
    <w:rsid w:val="00D06D83"/>
    <w:rsid w:val="00D07170"/>
    <w:rsid w:val="00D07454"/>
    <w:rsid w:val="00D07480"/>
    <w:rsid w:val="00D10E53"/>
    <w:rsid w:val="00D12F86"/>
    <w:rsid w:val="00D14735"/>
    <w:rsid w:val="00D150D5"/>
    <w:rsid w:val="00D156F8"/>
    <w:rsid w:val="00D17244"/>
    <w:rsid w:val="00D1782A"/>
    <w:rsid w:val="00D20322"/>
    <w:rsid w:val="00D20B2B"/>
    <w:rsid w:val="00D23437"/>
    <w:rsid w:val="00D23EBF"/>
    <w:rsid w:val="00D26372"/>
    <w:rsid w:val="00D263EA"/>
    <w:rsid w:val="00D309A9"/>
    <w:rsid w:val="00D30D7A"/>
    <w:rsid w:val="00D31376"/>
    <w:rsid w:val="00D31D34"/>
    <w:rsid w:val="00D35529"/>
    <w:rsid w:val="00D36A32"/>
    <w:rsid w:val="00D37B77"/>
    <w:rsid w:val="00D37D6D"/>
    <w:rsid w:val="00D408B7"/>
    <w:rsid w:val="00D42BE3"/>
    <w:rsid w:val="00D45E1F"/>
    <w:rsid w:val="00D46576"/>
    <w:rsid w:val="00D46C3F"/>
    <w:rsid w:val="00D50438"/>
    <w:rsid w:val="00D507E4"/>
    <w:rsid w:val="00D50C61"/>
    <w:rsid w:val="00D52363"/>
    <w:rsid w:val="00D53963"/>
    <w:rsid w:val="00D55A14"/>
    <w:rsid w:val="00D579A0"/>
    <w:rsid w:val="00D60195"/>
    <w:rsid w:val="00D60326"/>
    <w:rsid w:val="00D60976"/>
    <w:rsid w:val="00D60CD3"/>
    <w:rsid w:val="00D615E2"/>
    <w:rsid w:val="00D627AE"/>
    <w:rsid w:val="00D65740"/>
    <w:rsid w:val="00D660FD"/>
    <w:rsid w:val="00D7011F"/>
    <w:rsid w:val="00D71994"/>
    <w:rsid w:val="00D721D3"/>
    <w:rsid w:val="00D76993"/>
    <w:rsid w:val="00D77E90"/>
    <w:rsid w:val="00D816F0"/>
    <w:rsid w:val="00D81FCD"/>
    <w:rsid w:val="00D82CF3"/>
    <w:rsid w:val="00D832BA"/>
    <w:rsid w:val="00D839D0"/>
    <w:rsid w:val="00D84E5C"/>
    <w:rsid w:val="00D85CC8"/>
    <w:rsid w:val="00D86AFB"/>
    <w:rsid w:val="00D90384"/>
    <w:rsid w:val="00D91035"/>
    <w:rsid w:val="00D91BD1"/>
    <w:rsid w:val="00D91F7F"/>
    <w:rsid w:val="00D95B99"/>
    <w:rsid w:val="00D96000"/>
    <w:rsid w:val="00D965B4"/>
    <w:rsid w:val="00DA1221"/>
    <w:rsid w:val="00DA14A4"/>
    <w:rsid w:val="00DA1F83"/>
    <w:rsid w:val="00DA6087"/>
    <w:rsid w:val="00DA61DB"/>
    <w:rsid w:val="00DA7179"/>
    <w:rsid w:val="00DB03D8"/>
    <w:rsid w:val="00DB1ED1"/>
    <w:rsid w:val="00DB3128"/>
    <w:rsid w:val="00DB5F9E"/>
    <w:rsid w:val="00DB7C7F"/>
    <w:rsid w:val="00DC0AA7"/>
    <w:rsid w:val="00DC3FDA"/>
    <w:rsid w:val="00DC4396"/>
    <w:rsid w:val="00DC449A"/>
    <w:rsid w:val="00DC7260"/>
    <w:rsid w:val="00DC7749"/>
    <w:rsid w:val="00DD5BD3"/>
    <w:rsid w:val="00DD5E61"/>
    <w:rsid w:val="00DD652F"/>
    <w:rsid w:val="00DD7972"/>
    <w:rsid w:val="00DE004D"/>
    <w:rsid w:val="00DE05B6"/>
    <w:rsid w:val="00DE07F3"/>
    <w:rsid w:val="00DE2000"/>
    <w:rsid w:val="00DE25F4"/>
    <w:rsid w:val="00DE4269"/>
    <w:rsid w:val="00DE47AA"/>
    <w:rsid w:val="00DE48FB"/>
    <w:rsid w:val="00DE4FB9"/>
    <w:rsid w:val="00DE5E05"/>
    <w:rsid w:val="00DE73E7"/>
    <w:rsid w:val="00DE75D6"/>
    <w:rsid w:val="00DF1139"/>
    <w:rsid w:val="00DF2409"/>
    <w:rsid w:val="00DF5C13"/>
    <w:rsid w:val="00DF60B4"/>
    <w:rsid w:val="00DF6507"/>
    <w:rsid w:val="00E014A4"/>
    <w:rsid w:val="00E02699"/>
    <w:rsid w:val="00E03779"/>
    <w:rsid w:val="00E03DE1"/>
    <w:rsid w:val="00E042A5"/>
    <w:rsid w:val="00E048B2"/>
    <w:rsid w:val="00E05366"/>
    <w:rsid w:val="00E05711"/>
    <w:rsid w:val="00E05858"/>
    <w:rsid w:val="00E05CEF"/>
    <w:rsid w:val="00E06380"/>
    <w:rsid w:val="00E07E16"/>
    <w:rsid w:val="00E10374"/>
    <w:rsid w:val="00E10423"/>
    <w:rsid w:val="00E10A64"/>
    <w:rsid w:val="00E11D35"/>
    <w:rsid w:val="00E127E1"/>
    <w:rsid w:val="00E13E81"/>
    <w:rsid w:val="00E146F9"/>
    <w:rsid w:val="00E241E1"/>
    <w:rsid w:val="00E25425"/>
    <w:rsid w:val="00E26FD1"/>
    <w:rsid w:val="00E270AA"/>
    <w:rsid w:val="00E2737B"/>
    <w:rsid w:val="00E276B8"/>
    <w:rsid w:val="00E30E2B"/>
    <w:rsid w:val="00E30E6A"/>
    <w:rsid w:val="00E31991"/>
    <w:rsid w:val="00E32416"/>
    <w:rsid w:val="00E33632"/>
    <w:rsid w:val="00E340F2"/>
    <w:rsid w:val="00E379BF"/>
    <w:rsid w:val="00E405BE"/>
    <w:rsid w:val="00E42A2E"/>
    <w:rsid w:val="00E4548E"/>
    <w:rsid w:val="00E4695A"/>
    <w:rsid w:val="00E50FC0"/>
    <w:rsid w:val="00E51228"/>
    <w:rsid w:val="00E536EF"/>
    <w:rsid w:val="00E563C2"/>
    <w:rsid w:val="00E56439"/>
    <w:rsid w:val="00E56FEF"/>
    <w:rsid w:val="00E60ED5"/>
    <w:rsid w:val="00E610C2"/>
    <w:rsid w:val="00E65B46"/>
    <w:rsid w:val="00E66805"/>
    <w:rsid w:val="00E67175"/>
    <w:rsid w:val="00E6769C"/>
    <w:rsid w:val="00E70D1B"/>
    <w:rsid w:val="00E734BA"/>
    <w:rsid w:val="00E74A5E"/>
    <w:rsid w:val="00E74E69"/>
    <w:rsid w:val="00E76D0A"/>
    <w:rsid w:val="00E7736E"/>
    <w:rsid w:val="00E8158E"/>
    <w:rsid w:val="00E829B7"/>
    <w:rsid w:val="00E84024"/>
    <w:rsid w:val="00E8403A"/>
    <w:rsid w:val="00E8518E"/>
    <w:rsid w:val="00E8601E"/>
    <w:rsid w:val="00E8632D"/>
    <w:rsid w:val="00E865CA"/>
    <w:rsid w:val="00E9071C"/>
    <w:rsid w:val="00E914DE"/>
    <w:rsid w:val="00E9169E"/>
    <w:rsid w:val="00E91D58"/>
    <w:rsid w:val="00E91E01"/>
    <w:rsid w:val="00E93935"/>
    <w:rsid w:val="00E93B88"/>
    <w:rsid w:val="00E955CC"/>
    <w:rsid w:val="00E95EED"/>
    <w:rsid w:val="00E95FDC"/>
    <w:rsid w:val="00E97184"/>
    <w:rsid w:val="00EA0591"/>
    <w:rsid w:val="00EA1C4F"/>
    <w:rsid w:val="00EA2404"/>
    <w:rsid w:val="00EA2462"/>
    <w:rsid w:val="00EA2C0C"/>
    <w:rsid w:val="00EA4EBD"/>
    <w:rsid w:val="00EA5505"/>
    <w:rsid w:val="00EA55F1"/>
    <w:rsid w:val="00EA57DA"/>
    <w:rsid w:val="00EA5D52"/>
    <w:rsid w:val="00EA6507"/>
    <w:rsid w:val="00EA6574"/>
    <w:rsid w:val="00EA65FE"/>
    <w:rsid w:val="00EA6F13"/>
    <w:rsid w:val="00EA7575"/>
    <w:rsid w:val="00EA77DD"/>
    <w:rsid w:val="00EB01BE"/>
    <w:rsid w:val="00EB08BA"/>
    <w:rsid w:val="00EB4751"/>
    <w:rsid w:val="00EB5CA7"/>
    <w:rsid w:val="00EC00EC"/>
    <w:rsid w:val="00EC0331"/>
    <w:rsid w:val="00EC05DB"/>
    <w:rsid w:val="00EC07C8"/>
    <w:rsid w:val="00EC0E93"/>
    <w:rsid w:val="00EC25A9"/>
    <w:rsid w:val="00EC2703"/>
    <w:rsid w:val="00EC33B8"/>
    <w:rsid w:val="00EC4BC5"/>
    <w:rsid w:val="00EC58B6"/>
    <w:rsid w:val="00EC67D3"/>
    <w:rsid w:val="00EC7CBB"/>
    <w:rsid w:val="00ED1E7F"/>
    <w:rsid w:val="00ED27E5"/>
    <w:rsid w:val="00ED2AF2"/>
    <w:rsid w:val="00ED30C0"/>
    <w:rsid w:val="00ED4AB9"/>
    <w:rsid w:val="00ED5742"/>
    <w:rsid w:val="00ED59A6"/>
    <w:rsid w:val="00ED6B15"/>
    <w:rsid w:val="00EE1517"/>
    <w:rsid w:val="00EE2933"/>
    <w:rsid w:val="00EE2B5E"/>
    <w:rsid w:val="00EE2EBA"/>
    <w:rsid w:val="00EE2F1C"/>
    <w:rsid w:val="00EE4E49"/>
    <w:rsid w:val="00EE69C1"/>
    <w:rsid w:val="00EF01D4"/>
    <w:rsid w:val="00EF0AB4"/>
    <w:rsid w:val="00EF1A94"/>
    <w:rsid w:val="00EF2EB8"/>
    <w:rsid w:val="00EF31B0"/>
    <w:rsid w:val="00EF31BF"/>
    <w:rsid w:val="00EF3C7C"/>
    <w:rsid w:val="00EF55D0"/>
    <w:rsid w:val="00EF5DBA"/>
    <w:rsid w:val="00F02A22"/>
    <w:rsid w:val="00F03088"/>
    <w:rsid w:val="00F06C5D"/>
    <w:rsid w:val="00F07616"/>
    <w:rsid w:val="00F077F4"/>
    <w:rsid w:val="00F10FED"/>
    <w:rsid w:val="00F11346"/>
    <w:rsid w:val="00F123C3"/>
    <w:rsid w:val="00F12C41"/>
    <w:rsid w:val="00F139A4"/>
    <w:rsid w:val="00F158DD"/>
    <w:rsid w:val="00F15E79"/>
    <w:rsid w:val="00F16DCB"/>
    <w:rsid w:val="00F17AD7"/>
    <w:rsid w:val="00F21EB6"/>
    <w:rsid w:val="00F2291B"/>
    <w:rsid w:val="00F24DBD"/>
    <w:rsid w:val="00F25350"/>
    <w:rsid w:val="00F3049C"/>
    <w:rsid w:val="00F329E7"/>
    <w:rsid w:val="00F41A99"/>
    <w:rsid w:val="00F4260D"/>
    <w:rsid w:val="00F429DC"/>
    <w:rsid w:val="00F42A65"/>
    <w:rsid w:val="00F43091"/>
    <w:rsid w:val="00F459EE"/>
    <w:rsid w:val="00F460D2"/>
    <w:rsid w:val="00F46914"/>
    <w:rsid w:val="00F5065D"/>
    <w:rsid w:val="00F516CE"/>
    <w:rsid w:val="00F556DE"/>
    <w:rsid w:val="00F55CB8"/>
    <w:rsid w:val="00F55EA3"/>
    <w:rsid w:val="00F60A77"/>
    <w:rsid w:val="00F60E5F"/>
    <w:rsid w:val="00F61B46"/>
    <w:rsid w:val="00F62F96"/>
    <w:rsid w:val="00F63017"/>
    <w:rsid w:val="00F638CC"/>
    <w:rsid w:val="00F64710"/>
    <w:rsid w:val="00F6598C"/>
    <w:rsid w:val="00F65EA9"/>
    <w:rsid w:val="00F7498D"/>
    <w:rsid w:val="00F7602F"/>
    <w:rsid w:val="00F8088F"/>
    <w:rsid w:val="00F812D2"/>
    <w:rsid w:val="00F815B4"/>
    <w:rsid w:val="00F82BCE"/>
    <w:rsid w:val="00F82D14"/>
    <w:rsid w:val="00F82EE7"/>
    <w:rsid w:val="00F834C4"/>
    <w:rsid w:val="00F87342"/>
    <w:rsid w:val="00F90DC1"/>
    <w:rsid w:val="00F90F47"/>
    <w:rsid w:val="00F939EF"/>
    <w:rsid w:val="00F95651"/>
    <w:rsid w:val="00F9609A"/>
    <w:rsid w:val="00FA1C00"/>
    <w:rsid w:val="00FA1E75"/>
    <w:rsid w:val="00FA2C6F"/>
    <w:rsid w:val="00FA31B0"/>
    <w:rsid w:val="00FA3BAE"/>
    <w:rsid w:val="00FA5D44"/>
    <w:rsid w:val="00FA6727"/>
    <w:rsid w:val="00FB145B"/>
    <w:rsid w:val="00FB308A"/>
    <w:rsid w:val="00FB47E8"/>
    <w:rsid w:val="00FB4CDD"/>
    <w:rsid w:val="00FB740E"/>
    <w:rsid w:val="00FB75F7"/>
    <w:rsid w:val="00FC0C57"/>
    <w:rsid w:val="00FC2091"/>
    <w:rsid w:val="00FC30CF"/>
    <w:rsid w:val="00FC3E82"/>
    <w:rsid w:val="00FC4EB4"/>
    <w:rsid w:val="00FC6AB9"/>
    <w:rsid w:val="00FC6DE7"/>
    <w:rsid w:val="00FD0A1B"/>
    <w:rsid w:val="00FD0D3F"/>
    <w:rsid w:val="00FD18A3"/>
    <w:rsid w:val="00FD212F"/>
    <w:rsid w:val="00FD2435"/>
    <w:rsid w:val="00FD4812"/>
    <w:rsid w:val="00FD4DA0"/>
    <w:rsid w:val="00FD68DB"/>
    <w:rsid w:val="00FD7155"/>
    <w:rsid w:val="00FE2B3F"/>
    <w:rsid w:val="00FE36D2"/>
    <w:rsid w:val="00FE3F79"/>
    <w:rsid w:val="00FE406F"/>
    <w:rsid w:val="00FE526E"/>
    <w:rsid w:val="00FE5376"/>
    <w:rsid w:val="00FE5CF2"/>
    <w:rsid w:val="00FE7EAB"/>
    <w:rsid w:val="00FF01AB"/>
    <w:rsid w:val="00FF101E"/>
    <w:rsid w:val="00FF13CA"/>
    <w:rsid w:val="00FF219E"/>
    <w:rsid w:val="00FF3C53"/>
    <w:rsid w:val="00FF3E32"/>
    <w:rsid w:val="00FF42BF"/>
    <w:rsid w:val="00FF4B05"/>
    <w:rsid w:val="00FF4F18"/>
    <w:rsid w:val="00FF535D"/>
    <w:rsid w:val="00FF55BE"/>
    <w:rsid w:val="00FF795A"/>
    <w:rsid w:val="00FF7B5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A67AB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bCs/>
        <w:iCs/>
        <w:sz w:val="24"/>
        <w:szCs w:val="28"/>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A79"/>
    <w:rPr>
      <w:bCs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A79"/>
    <w:rPr>
      <w:szCs w:val="24"/>
    </w:rPr>
  </w:style>
  <w:style w:type="character" w:customStyle="1" w:styleId="EndnoteTextChar">
    <w:name w:val="Endnote Text Char"/>
    <w:basedOn w:val="DefaultParagraphFont"/>
    <w:link w:val="EndnoteText"/>
    <w:uiPriority w:val="99"/>
    <w:rsid w:val="004E5A79"/>
    <w:rPr>
      <w:bCs w:val="0"/>
      <w:iCs w:val="0"/>
      <w:szCs w:val="24"/>
    </w:rPr>
  </w:style>
  <w:style w:type="character" w:styleId="EndnoteReference">
    <w:name w:val="endnote reference"/>
    <w:basedOn w:val="DefaultParagraphFont"/>
    <w:uiPriority w:val="99"/>
    <w:unhideWhenUsed/>
    <w:rsid w:val="004E5A79"/>
    <w:rPr>
      <w:vertAlign w:val="superscript"/>
    </w:rPr>
  </w:style>
  <w:style w:type="paragraph" w:styleId="FootnoteText">
    <w:name w:val="footnote text"/>
    <w:basedOn w:val="Normal"/>
    <w:link w:val="FootnoteTextChar"/>
    <w:uiPriority w:val="99"/>
    <w:unhideWhenUsed/>
    <w:rsid w:val="000265C6"/>
    <w:rPr>
      <w:sz w:val="20"/>
      <w:szCs w:val="20"/>
    </w:rPr>
  </w:style>
  <w:style w:type="character" w:customStyle="1" w:styleId="FootnoteTextChar">
    <w:name w:val="Footnote Text Char"/>
    <w:basedOn w:val="DefaultParagraphFont"/>
    <w:link w:val="FootnoteText"/>
    <w:uiPriority w:val="99"/>
    <w:rsid w:val="000265C6"/>
    <w:rPr>
      <w:bCs w:val="0"/>
      <w:iCs w:val="0"/>
      <w:sz w:val="20"/>
      <w:szCs w:val="20"/>
    </w:rPr>
  </w:style>
  <w:style w:type="character" w:styleId="FootnoteReference">
    <w:name w:val="footnote reference"/>
    <w:basedOn w:val="DefaultParagraphFont"/>
    <w:uiPriority w:val="99"/>
    <w:unhideWhenUsed/>
    <w:rsid w:val="000265C6"/>
    <w:rPr>
      <w:vertAlign w:val="superscript"/>
    </w:rPr>
  </w:style>
  <w:style w:type="paragraph" w:styleId="DocumentMap">
    <w:name w:val="Document Map"/>
    <w:basedOn w:val="Normal"/>
    <w:link w:val="DocumentMapChar"/>
    <w:uiPriority w:val="99"/>
    <w:semiHidden/>
    <w:unhideWhenUsed/>
    <w:rsid w:val="00F03088"/>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F03088"/>
    <w:rPr>
      <w:rFonts w:ascii="Times New Roman" w:hAnsi="Times New Roman" w:cs="Times New Roman"/>
      <w:bCs w:val="0"/>
      <w:iCs w:val="0"/>
      <w:szCs w:val="24"/>
    </w:rPr>
  </w:style>
  <w:style w:type="paragraph" w:styleId="ListParagraph">
    <w:name w:val="List Paragraph"/>
    <w:basedOn w:val="Normal"/>
    <w:uiPriority w:val="34"/>
    <w:qFormat/>
    <w:rsid w:val="002832E0"/>
    <w:pPr>
      <w:ind w:left="720"/>
      <w:contextualSpacing/>
    </w:pPr>
  </w:style>
  <w:style w:type="paragraph" w:customStyle="1" w:styleId="Firstparagraph">
    <w:name w:val="First paragraph"/>
    <w:basedOn w:val="Normal"/>
    <w:next w:val="Normal"/>
    <w:rsid w:val="00CA570D"/>
    <w:pPr>
      <w:spacing w:before="140"/>
      <w:jc w:val="both"/>
    </w:pPr>
    <w:rPr>
      <w:rFonts w:ascii="Garamond" w:eastAsia="Times New Roman" w:hAnsi="Garamond" w:cs="Times New Roman"/>
      <w:szCs w:val="24"/>
      <w:lang w:val="en-GB"/>
    </w:rPr>
  </w:style>
  <w:style w:type="character" w:styleId="Hyperlink">
    <w:name w:val="Hyperlink"/>
    <w:basedOn w:val="DefaultParagraphFont"/>
    <w:uiPriority w:val="99"/>
    <w:unhideWhenUsed/>
    <w:rsid w:val="00D408B7"/>
    <w:rPr>
      <w:color w:val="0563C1" w:themeColor="hyperlink"/>
      <w:u w:val="single"/>
    </w:rPr>
  </w:style>
  <w:style w:type="paragraph" w:styleId="BalloonText">
    <w:name w:val="Balloon Text"/>
    <w:basedOn w:val="Normal"/>
    <w:link w:val="BalloonTextChar"/>
    <w:uiPriority w:val="99"/>
    <w:semiHidden/>
    <w:unhideWhenUsed/>
    <w:rsid w:val="007412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120F"/>
    <w:rPr>
      <w:rFonts w:ascii="Lucida Grande" w:hAnsi="Lucida Grande" w:cs="Lucida Grande"/>
      <w:bCs w:val="0"/>
      <w:iCs w:val="0"/>
      <w:sz w:val="18"/>
      <w:szCs w:val="18"/>
    </w:rPr>
  </w:style>
  <w:style w:type="paragraph" w:styleId="Header">
    <w:name w:val="header"/>
    <w:basedOn w:val="Normal"/>
    <w:link w:val="HeaderChar"/>
    <w:uiPriority w:val="99"/>
    <w:unhideWhenUsed/>
    <w:rsid w:val="003666A5"/>
    <w:pPr>
      <w:tabs>
        <w:tab w:val="center" w:pos="4320"/>
        <w:tab w:val="right" w:pos="8640"/>
      </w:tabs>
    </w:pPr>
  </w:style>
  <w:style w:type="character" w:customStyle="1" w:styleId="HeaderChar">
    <w:name w:val="Header Char"/>
    <w:basedOn w:val="DefaultParagraphFont"/>
    <w:link w:val="Header"/>
    <w:uiPriority w:val="99"/>
    <w:rsid w:val="003666A5"/>
    <w:rPr>
      <w:bCs w:val="0"/>
      <w:iCs w:val="0"/>
    </w:rPr>
  </w:style>
  <w:style w:type="paragraph" w:styleId="Footer">
    <w:name w:val="footer"/>
    <w:basedOn w:val="Normal"/>
    <w:link w:val="FooterChar"/>
    <w:uiPriority w:val="99"/>
    <w:unhideWhenUsed/>
    <w:rsid w:val="003666A5"/>
    <w:pPr>
      <w:tabs>
        <w:tab w:val="center" w:pos="4320"/>
        <w:tab w:val="right" w:pos="8640"/>
      </w:tabs>
    </w:pPr>
  </w:style>
  <w:style w:type="character" w:customStyle="1" w:styleId="FooterChar">
    <w:name w:val="Footer Char"/>
    <w:basedOn w:val="DefaultParagraphFont"/>
    <w:link w:val="Footer"/>
    <w:uiPriority w:val="99"/>
    <w:rsid w:val="003666A5"/>
    <w:rPr>
      <w:bCs w:val="0"/>
      <w:iCs w:val="0"/>
    </w:rPr>
  </w:style>
  <w:style w:type="character" w:styleId="PageNumber">
    <w:name w:val="page number"/>
    <w:basedOn w:val="DefaultParagraphFont"/>
    <w:uiPriority w:val="99"/>
    <w:semiHidden/>
    <w:unhideWhenUsed/>
    <w:rsid w:val="003666A5"/>
  </w:style>
  <w:style w:type="table" w:styleId="TableGrid">
    <w:name w:val="Table Grid"/>
    <w:basedOn w:val="TableNormal"/>
    <w:uiPriority w:val="39"/>
    <w:rsid w:val="00FB14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962A1"/>
    <w:rPr>
      <w:rFonts w:ascii="Times New Roman" w:hAnsi="Times New Roman" w:cs="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bCs/>
        <w:iCs/>
        <w:sz w:val="24"/>
        <w:szCs w:val="28"/>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A79"/>
    <w:rPr>
      <w:bCs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A79"/>
    <w:rPr>
      <w:szCs w:val="24"/>
    </w:rPr>
  </w:style>
  <w:style w:type="character" w:customStyle="1" w:styleId="EndnoteTextChar">
    <w:name w:val="Endnote Text Char"/>
    <w:basedOn w:val="DefaultParagraphFont"/>
    <w:link w:val="EndnoteText"/>
    <w:uiPriority w:val="99"/>
    <w:rsid w:val="004E5A79"/>
    <w:rPr>
      <w:bCs w:val="0"/>
      <w:iCs w:val="0"/>
      <w:szCs w:val="24"/>
    </w:rPr>
  </w:style>
  <w:style w:type="character" w:styleId="EndnoteReference">
    <w:name w:val="endnote reference"/>
    <w:basedOn w:val="DefaultParagraphFont"/>
    <w:uiPriority w:val="99"/>
    <w:unhideWhenUsed/>
    <w:rsid w:val="004E5A79"/>
    <w:rPr>
      <w:vertAlign w:val="superscript"/>
    </w:rPr>
  </w:style>
  <w:style w:type="paragraph" w:styleId="FootnoteText">
    <w:name w:val="footnote text"/>
    <w:basedOn w:val="Normal"/>
    <w:link w:val="FootnoteTextChar"/>
    <w:uiPriority w:val="99"/>
    <w:unhideWhenUsed/>
    <w:rsid w:val="000265C6"/>
    <w:rPr>
      <w:sz w:val="20"/>
      <w:szCs w:val="20"/>
    </w:rPr>
  </w:style>
  <w:style w:type="character" w:customStyle="1" w:styleId="FootnoteTextChar">
    <w:name w:val="Footnote Text Char"/>
    <w:basedOn w:val="DefaultParagraphFont"/>
    <w:link w:val="FootnoteText"/>
    <w:uiPriority w:val="99"/>
    <w:rsid w:val="000265C6"/>
    <w:rPr>
      <w:bCs w:val="0"/>
      <w:iCs w:val="0"/>
      <w:sz w:val="20"/>
      <w:szCs w:val="20"/>
    </w:rPr>
  </w:style>
  <w:style w:type="character" w:styleId="FootnoteReference">
    <w:name w:val="footnote reference"/>
    <w:basedOn w:val="DefaultParagraphFont"/>
    <w:uiPriority w:val="99"/>
    <w:unhideWhenUsed/>
    <w:rsid w:val="000265C6"/>
    <w:rPr>
      <w:vertAlign w:val="superscript"/>
    </w:rPr>
  </w:style>
  <w:style w:type="paragraph" w:styleId="DocumentMap">
    <w:name w:val="Document Map"/>
    <w:basedOn w:val="Normal"/>
    <w:link w:val="DocumentMapChar"/>
    <w:uiPriority w:val="99"/>
    <w:semiHidden/>
    <w:unhideWhenUsed/>
    <w:rsid w:val="00F03088"/>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F03088"/>
    <w:rPr>
      <w:rFonts w:ascii="Times New Roman" w:hAnsi="Times New Roman" w:cs="Times New Roman"/>
      <w:bCs w:val="0"/>
      <w:iCs w:val="0"/>
      <w:szCs w:val="24"/>
    </w:rPr>
  </w:style>
  <w:style w:type="paragraph" w:styleId="ListParagraph">
    <w:name w:val="List Paragraph"/>
    <w:basedOn w:val="Normal"/>
    <w:uiPriority w:val="34"/>
    <w:qFormat/>
    <w:rsid w:val="002832E0"/>
    <w:pPr>
      <w:ind w:left="720"/>
      <w:contextualSpacing/>
    </w:pPr>
  </w:style>
  <w:style w:type="paragraph" w:customStyle="1" w:styleId="Firstparagraph">
    <w:name w:val="First paragraph"/>
    <w:basedOn w:val="Normal"/>
    <w:next w:val="Normal"/>
    <w:rsid w:val="00CA570D"/>
    <w:pPr>
      <w:spacing w:before="140"/>
      <w:jc w:val="both"/>
    </w:pPr>
    <w:rPr>
      <w:rFonts w:ascii="Garamond" w:eastAsia="Times New Roman" w:hAnsi="Garamond" w:cs="Times New Roman"/>
      <w:szCs w:val="24"/>
      <w:lang w:val="en-GB"/>
    </w:rPr>
  </w:style>
  <w:style w:type="character" w:styleId="Hyperlink">
    <w:name w:val="Hyperlink"/>
    <w:basedOn w:val="DefaultParagraphFont"/>
    <w:uiPriority w:val="99"/>
    <w:unhideWhenUsed/>
    <w:rsid w:val="00D408B7"/>
    <w:rPr>
      <w:color w:val="0563C1" w:themeColor="hyperlink"/>
      <w:u w:val="single"/>
    </w:rPr>
  </w:style>
  <w:style w:type="paragraph" w:styleId="BalloonText">
    <w:name w:val="Balloon Text"/>
    <w:basedOn w:val="Normal"/>
    <w:link w:val="BalloonTextChar"/>
    <w:uiPriority w:val="99"/>
    <w:semiHidden/>
    <w:unhideWhenUsed/>
    <w:rsid w:val="007412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120F"/>
    <w:rPr>
      <w:rFonts w:ascii="Lucida Grande" w:hAnsi="Lucida Grande" w:cs="Lucida Grande"/>
      <w:bCs w:val="0"/>
      <w:iCs w:val="0"/>
      <w:sz w:val="18"/>
      <w:szCs w:val="18"/>
    </w:rPr>
  </w:style>
  <w:style w:type="paragraph" w:styleId="Header">
    <w:name w:val="header"/>
    <w:basedOn w:val="Normal"/>
    <w:link w:val="HeaderChar"/>
    <w:uiPriority w:val="99"/>
    <w:unhideWhenUsed/>
    <w:rsid w:val="003666A5"/>
    <w:pPr>
      <w:tabs>
        <w:tab w:val="center" w:pos="4320"/>
        <w:tab w:val="right" w:pos="8640"/>
      </w:tabs>
    </w:pPr>
  </w:style>
  <w:style w:type="character" w:customStyle="1" w:styleId="HeaderChar">
    <w:name w:val="Header Char"/>
    <w:basedOn w:val="DefaultParagraphFont"/>
    <w:link w:val="Header"/>
    <w:uiPriority w:val="99"/>
    <w:rsid w:val="003666A5"/>
    <w:rPr>
      <w:bCs w:val="0"/>
      <w:iCs w:val="0"/>
    </w:rPr>
  </w:style>
  <w:style w:type="paragraph" w:styleId="Footer">
    <w:name w:val="footer"/>
    <w:basedOn w:val="Normal"/>
    <w:link w:val="FooterChar"/>
    <w:uiPriority w:val="99"/>
    <w:unhideWhenUsed/>
    <w:rsid w:val="003666A5"/>
    <w:pPr>
      <w:tabs>
        <w:tab w:val="center" w:pos="4320"/>
        <w:tab w:val="right" w:pos="8640"/>
      </w:tabs>
    </w:pPr>
  </w:style>
  <w:style w:type="character" w:customStyle="1" w:styleId="FooterChar">
    <w:name w:val="Footer Char"/>
    <w:basedOn w:val="DefaultParagraphFont"/>
    <w:link w:val="Footer"/>
    <w:uiPriority w:val="99"/>
    <w:rsid w:val="003666A5"/>
    <w:rPr>
      <w:bCs w:val="0"/>
      <w:iCs w:val="0"/>
    </w:rPr>
  </w:style>
  <w:style w:type="character" w:styleId="PageNumber">
    <w:name w:val="page number"/>
    <w:basedOn w:val="DefaultParagraphFont"/>
    <w:uiPriority w:val="99"/>
    <w:semiHidden/>
    <w:unhideWhenUsed/>
    <w:rsid w:val="003666A5"/>
  </w:style>
  <w:style w:type="table" w:styleId="TableGrid">
    <w:name w:val="Table Grid"/>
    <w:basedOn w:val="TableNormal"/>
    <w:uiPriority w:val="39"/>
    <w:rsid w:val="00FB14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962A1"/>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582835">
      <w:bodyDiv w:val="1"/>
      <w:marLeft w:val="0"/>
      <w:marRight w:val="0"/>
      <w:marTop w:val="0"/>
      <w:marBottom w:val="0"/>
      <w:divBdr>
        <w:top w:val="none" w:sz="0" w:space="0" w:color="auto"/>
        <w:left w:val="none" w:sz="0" w:space="0" w:color="auto"/>
        <w:bottom w:val="none" w:sz="0" w:space="0" w:color="auto"/>
        <w:right w:val="none" w:sz="0" w:space="0" w:color="auto"/>
      </w:divBdr>
    </w:div>
    <w:div w:id="776297180">
      <w:bodyDiv w:val="1"/>
      <w:marLeft w:val="0"/>
      <w:marRight w:val="0"/>
      <w:marTop w:val="0"/>
      <w:marBottom w:val="0"/>
      <w:divBdr>
        <w:top w:val="none" w:sz="0" w:space="0" w:color="auto"/>
        <w:left w:val="none" w:sz="0" w:space="0" w:color="auto"/>
        <w:bottom w:val="none" w:sz="0" w:space="0" w:color="auto"/>
        <w:right w:val="none" w:sz="0" w:space="0" w:color="auto"/>
      </w:divBdr>
      <w:divsChild>
        <w:div w:id="1395158322">
          <w:marLeft w:val="0"/>
          <w:marRight w:val="0"/>
          <w:marTop w:val="0"/>
          <w:marBottom w:val="0"/>
          <w:divBdr>
            <w:top w:val="none" w:sz="0" w:space="0" w:color="auto"/>
            <w:left w:val="none" w:sz="0" w:space="0" w:color="auto"/>
            <w:bottom w:val="none" w:sz="0" w:space="0" w:color="auto"/>
            <w:right w:val="none" w:sz="0" w:space="0" w:color="auto"/>
          </w:divBdr>
          <w:divsChild>
            <w:div w:id="258758037">
              <w:marLeft w:val="0"/>
              <w:marRight w:val="0"/>
              <w:marTop w:val="0"/>
              <w:marBottom w:val="0"/>
              <w:divBdr>
                <w:top w:val="none" w:sz="0" w:space="0" w:color="auto"/>
                <w:left w:val="none" w:sz="0" w:space="0" w:color="auto"/>
                <w:bottom w:val="none" w:sz="0" w:space="0" w:color="auto"/>
                <w:right w:val="none" w:sz="0" w:space="0" w:color="auto"/>
              </w:divBdr>
              <w:divsChild>
                <w:div w:id="14027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432644">
      <w:bodyDiv w:val="1"/>
      <w:marLeft w:val="0"/>
      <w:marRight w:val="0"/>
      <w:marTop w:val="0"/>
      <w:marBottom w:val="0"/>
      <w:divBdr>
        <w:top w:val="none" w:sz="0" w:space="0" w:color="auto"/>
        <w:left w:val="none" w:sz="0" w:space="0" w:color="auto"/>
        <w:bottom w:val="none" w:sz="0" w:space="0" w:color="auto"/>
        <w:right w:val="none" w:sz="0" w:space="0" w:color="auto"/>
      </w:divBdr>
    </w:div>
    <w:div w:id="17865351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ir2018.wid.world/" TargetMode="External"/><Relationship Id="rId9" Type="http://schemas.openxmlformats.org/officeDocument/2006/relationships/image" Target="media/image1.png"/><Relationship Id="rId10"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piketty@psemail.eu" TargetMode="External"/><Relationship Id="rId2" Type="http://schemas.openxmlformats.org/officeDocument/2006/relationships/hyperlink" Target="mailto:saez@econ.berkeley.edu" TargetMode="External"/><Relationship Id="rId3" Type="http://schemas.openxmlformats.org/officeDocument/2006/relationships/hyperlink" Target="mailto:zucman@berkeley.edu"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821</TotalTime>
  <Pages>15</Pages>
  <Words>3670</Words>
  <Characters>20925</Characters>
  <Application>Microsoft Macintosh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Chancel</dc:creator>
  <cp:keywords/>
  <dc:description/>
  <cp:lastModifiedBy>emmanuel saez</cp:lastModifiedBy>
  <cp:revision>1116</cp:revision>
  <dcterms:created xsi:type="dcterms:W3CDTF">2018-01-09T14:55:00Z</dcterms:created>
  <dcterms:modified xsi:type="dcterms:W3CDTF">2019-01-11T23:03:00Z</dcterms:modified>
</cp:coreProperties>
</file>